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30E60" w14:textId="3EE263C8" w:rsidR="00700EF5" w:rsidRPr="003A6C74" w:rsidRDefault="00700EF5" w:rsidP="00700EF5">
      <w:pPr>
        <w:pStyle w:val="3GPPHeader"/>
        <w:spacing w:after="60"/>
        <w:rPr>
          <w:sz w:val="32"/>
          <w:szCs w:val="32"/>
          <w:highlight w:val="yellow"/>
          <w:lang w:val="de-DE"/>
        </w:rPr>
      </w:pPr>
      <w:r w:rsidRPr="003A6C74">
        <w:rPr>
          <w:lang w:val="de-DE"/>
        </w:rPr>
        <w:t>3GPP TSG-RAN WG2 #99</w:t>
      </w:r>
      <w:r w:rsidR="00040B12" w:rsidRPr="003A6C74">
        <w:rPr>
          <w:lang w:val="de-DE"/>
        </w:rPr>
        <w:t>bis</w:t>
      </w:r>
      <w:r w:rsidRPr="003A6C74">
        <w:rPr>
          <w:lang w:val="de-DE"/>
        </w:rPr>
        <w:tab/>
      </w:r>
      <w:r w:rsidRPr="003A6C74">
        <w:rPr>
          <w:sz w:val="32"/>
          <w:szCs w:val="32"/>
          <w:lang w:val="de-DE"/>
        </w:rPr>
        <w:t xml:space="preserve">Tdoc </w:t>
      </w:r>
      <w:r w:rsidR="00864623" w:rsidRPr="003A6C74">
        <w:rPr>
          <w:sz w:val="32"/>
          <w:szCs w:val="32"/>
          <w:lang w:val="de-DE"/>
        </w:rPr>
        <w:t>R2-1711822</w:t>
      </w:r>
    </w:p>
    <w:p w14:paraId="479B6A43"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304857A5" w14:textId="77777777" w:rsidR="00E90E49" w:rsidRPr="00CE0424" w:rsidRDefault="00E90E49" w:rsidP="00357380">
      <w:pPr>
        <w:pStyle w:val="3GPPHeader"/>
      </w:pPr>
    </w:p>
    <w:p w14:paraId="62571D78" w14:textId="7777777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2B7D77" w:rsidRPr="002B7D77">
        <w:rPr>
          <w:sz w:val="22"/>
          <w:szCs w:val="22"/>
          <w:lang w:val="sv-SE"/>
        </w:rPr>
        <w:t>10.2.3</w:t>
      </w:r>
      <w:r w:rsidR="002B7D77">
        <w:rPr>
          <w:sz w:val="22"/>
          <w:szCs w:val="22"/>
          <w:lang w:val="sv-SE"/>
        </w:rPr>
        <w:t xml:space="preserve"> - NR - Stage-2 - </w:t>
      </w:r>
      <w:r w:rsidR="002B7D77" w:rsidRPr="002B7D77">
        <w:rPr>
          <w:sz w:val="22"/>
          <w:szCs w:val="22"/>
          <w:lang w:val="sv-SE"/>
        </w:rPr>
        <w:t>Impact of bandwidth parts</w:t>
      </w:r>
    </w:p>
    <w:p w14:paraId="43127E3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80632A"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2B7D77">
        <w:rPr>
          <w:sz w:val="22"/>
          <w:szCs w:val="22"/>
        </w:rPr>
        <w:t>On Bandwidth Parts and Multiple SSBs</w:t>
      </w:r>
    </w:p>
    <w:p w14:paraId="536906AB"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88194F">
        <w:rPr>
          <w:sz w:val="22"/>
          <w:szCs w:val="22"/>
        </w:rPr>
        <w:t>Discussion, Decision</w:t>
      </w:r>
    </w:p>
    <w:p w14:paraId="3F05BAB7" w14:textId="77777777" w:rsidR="00C24345" w:rsidRDefault="00E90E49" w:rsidP="00A2052C">
      <w:pPr>
        <w:pStyle w:val="Heading1"/>
      </w:pPr>
      <w:r w:rsidRPr="00CE0424">
        <w:t>Introduction</w:t>
      </w:r>
    </w:p>
    <w:p w14:paraId="0A242AA2" w14:textId="5C9DA6EC" w:rsidR="007F532C" w:rsidRDefault="006264A3" w:rsidP="00A2052C">
      <w:r>
        <w:t xml:space="preserve">RAN1 introduced the concept of Bandwidth Parts </w:t>
      </w:r>
      <w:r w:rsidR="007F532C">
        <w:t xml:space="preserve">(BWP) </w:t>
      </w:r>
      <w:r>
        <w:t>which intends to configure the UE with an operation bandwidth that can be less than the actual carrier bandwidth. This has obviously similarities to the handling of “bandwidth reduced” UEs in LTE (C</w:t>
      </w:r>
      <w:r w:rsidR="007F532C">
        <w:t>at-M1) which are not able to operate on the entire carrier bandwidth</w:t>
      </w:r>
      <w:r w:rsidR="00DB3511">
        <w:rPr>
          <w:rStyle w:val="FootnoteReference"/>
        </w:rPr>
        <w:footnoteReference w:id="2"/>
      </w:r>
      <w:r w:rsidR="007F532C">
        <w:t xml:space="preserve">. </w:t>
      </w:r>
      <w:r w:rsidR="00DB3511">
        <w:t xml:space="preserve">Like in LTE Cat-M1 the </w:t>
      </w:r>
      <w:r w:rsidR="007F532C">
        <w:t xml:space="preserve">configured BWP </w:t>
      </w:r>
      <w:r w:rsidR="00DB3511">
        <w:t xml:space="preserve">may </w:t>
      </w:r>
      <w:r w:rsidR="007F532C">
        <w:t>not coincide with the carrier</w:t>
      </w:r>
      <w:r w:rsidR="00DB3511">
        <w:t>’</w:t>
      </w:r>
      <w:r w:rsidR="007F532C">
        <w:t>s SSB (PSS/SSS/MIB)</w:t>
      </w:r>
      <w:r w:rsidR="00DB3511">
        <w:t xml:space="preserve"> and it must be discussed how the UE acquires cell sync, performs measurements and acquires SIB in such cases. </w:t>
      </w:r>
    </w:p>
    <w:p w14:paraId="30CE9804" w14:textId="39F182FF" w:rsidR="00DB3511" w:rsidRDefault="007F532C" w:rsidP="00DB3511">
      <w:r>
        <w:t>Besides this</w:t>
      </w:r>
      <w:r w:rsidR="00DB3511">
        <w:t xml:space="preserve"> core part of the BWP functionality</w:t>
      </w:r>
      <w:r>
        <w:t>, RAN1 also discussed other flavours</w:t>
      </w:r>
      <w:r w:rsidR="00DB3511">
        <w:t xml:space="preserve"> e.g. with additional SSBs in the same carrier or in the same BWP as well as </w:t>
      </w:r>
      <w:r>
        <w:t xml:space="preserve">the possibility to configure a UE with several possibly overlapping BWPs among which the network can switch by means of L1 control signals (DCI). </w:t>
      </w:r>
      <w:r w:rsidR="00DB3511">
        <w:t xml:space="preserve">In this paper we discuss the some of the additional complexity such flavour would impose and propose to down-prioritize those. </w:t>
      </w:r>
    </w:p>
    <w:p w14:paraId="6F2910DF" w14:textId="77777777" w:rsidR="004000E8" w:rsidRPr="00CE0424" w:rsidRDefault="004000E8" w:rsidP="00CE0424">
      <w:pPr>
        <w:pStyle w:val="Heading1"/>
      </w:pPr>
      <w:bookmarkStart w:id="0" w:name="_Ref178064866"/>
      <w:r w:rsidRPr="00CE0424">
        <w:t>Discussion</w:t>
      </w:r>
      <w:bookmarkEnd w:id="0"/>
    </w:p>
    <w:p w14:paraId="6EB5E19E" w14:textId="0F08EC01" w:rsidR="00D81A69" w:rsidRDefault="00D81A69" w:rsidP="00D81A69">
      <w:pPr>
        <w:pStyle w:val="Heading2"/>
      </w:pPr>
      <w:r>
        <w:t>BWP vs. Carrier</w:t>
      </w:r>
    </w:p>
    <w:p w14:paraId="78579D8C" w14:textId="73232A2E" w:rsidR="003742AC" w:rsidRDefault="00456F6B" w:rsidP="00CE0424">
      <w:pPr>
        <w:pStyle w:val="BodyText"/>
      </w:pPr>
      <w:r>
        <w:t xml:space="preserve">In </w:t>
      </w:r>
      <w:r w:rsidR="00D81A69">
        <w:t>LTE,</w:t>
      </w:r>
      <w:r>
        <w:t xml:space="preserve"> the UE is made aware of the entire carrier bandwidth through MIB (initial access) and through dedicated signalling in case of HO and SCell addition. RAN4 has not yet decided whether an NR UE must be made aware of the carrier bandwidth or whether it might be sufficient to inform it only about its operating bandwidth, i.e. about its BWP. </w:t>
      </w:r>
      <w:r w:rsidR="00461367">
        <w:t>This makes it difficult to discuss the actual signalling details of BWP and carriers but it should anyway be possible to settle some basic principles</w:t>
      </w:r>
      <w:r w:rsidR="00970CE2">
        <w:t>... as discussed in the following sub-sections</w:t>
      </w:r>
      <w:r w:rsidR="00461367">
        <w:t xml:space="preserve">. </w:t>
      </w:r>
    </w:p>
    <w:p w14:paraId="66FDB42C" w14:textId="315F0DF8" w:rsidR="00BD44BB" w:rsidRDefault="00BD44BB" w:rsidP="00BD44BB">
      <w:pPr>
        <w:pStyle w:val="Heading2"/>
      </w:pPr>
      <w:r>
        <w:t>Initial- and Dedicated BWPs</w:t>
      </w:r>
    </w:p>
    <w:p w14:paraId="49712CA7" w14:textId="678B530B" w:rsidR="00762F9E" w:rsidRDefault="00F06775" w:rsidP="00762F9E">
      <w:r>
        <w:t>The downlink and uplink bandwidth parts determine the frequency range in which the UE is required to receive and transmit data channels (PDSCH and PUSCH) and corresponding control channels</w:t>
      </w:r>
      <w:r w:rsidR="005404BB">
        <w:t xml:space="preserve"> (PDCCH and PUCCH)</w:t>
      </w:r>
      <w:r>
        <w:t xml:space="preserve">. </w:t>
      </w:r>
      <w:r w:rsidR="00461367">
        <w:t xml:space="preserve">As a starting point, </w:t>
      </w:r>
      <w:r w:rsidR="00762F9E">
        <w:t xml:space="preserve">a BWP cannot span more than the configured carrier bandwidth. </w:t>
      </w:r>
    </w:p>
    <w:p w14:paraId="71FDD193" w14:textId="756605CF" w:rsidR="00762F9E" w:rsidRDefault="00762F9E" w:rsidP="005247C7">
      <w:pPr>
        <w:pStyle w:val="Observation"/>
      </w:pPr>
      <w:bookmarkStart w:id="1" w:name="_Toc494192968"/>
      <w:bookmarkStart w:id="2" w:name="_Toc494195923"/>
      <w:bookmarkStart w:id="3" w:name="_Toc494213055"/>
      <w:bookmarkStart w:id="4" w:name="_Toc494438024"/>
      <w:bookmarkStart w:id="5" w:name="_Toc494439197"/>
      <w:bookmarkStart w:id="6" w:name="_Toc494439351"/>
      <w:r>
        <w:t>A BWP is smaller or equal to (but not larger than) than the carrier bandwidth.</w:t>
      </w:r>
      <w:bookmarkEnd w:id="1"/>
      <w:bookmarkEnd w:id="2"/>
      <w:bookmarkEnd w:id="3"/>
      <w:bookmarkEnd w:id="4"/>
      <w:bookmarkEnd w:id="5"/>
      <w:bookmarkEnd w:id="6"/>
    </w:p>
    <w:p w14:paraId="65F9CC95" w14:textId="2DBA150A" w:rsidR="00461367" w:rsidRDefault="00461367" w:rsidP="00461367">
      <w:r>
        <w:t xml:space="preserve">A key aspect of the BWP concept (as opposed to using only the carrier  bandwidth) is to support UEs that cannot handle the entire carrier bandwidth. UEs supporting the full carrier bandwidth can also utilize the entire carrier. </w:t>
      </w:r>
    </w:p>
    <w:p w14:paraId="3F68D3CA" w14:textId="204E15CD" w:rsidR="00762F9E" w:rsidRDefault="00577619" w:rsidP="00577619">
      <w:pPr>
        <w:pStyle w:val="Proposal"/>
      </w:pPr>
      <w:bookmarkStart w:id="7" w:name="_Toc494438034"/>
      <w:bookmarkStart w:id="8" w:name="_Toc494439207"/>
      <w:bookmarkStart w:id="9" w:name="_Toc494439361"/>
      <w:r>
        <w:t xml:space="preserve">In dedicated signalling, the </w:t>
      </w:r>
      <w:r w:rsidR="00762F9E">
        <w:t xml:space="preserve">NW configures the DL </w:t>
      </w:r>
      <w:r w:rsidR="00BC5A6F">
        <w:t xml:space="preserve">BWP </w:t>
      </w:r>
      <w:r w:rsidR="00762F9E">
        <w:t xml:space="preserve">and </w:t>
      </w:r>
      <w:r w:rsidR="00BC5A6F">
        <w:t>the UL BWP</w:t>
      </w:r>
      <w:r w:rsidR="00762F9E">
        <w:t xml:space="preserve"> in accordance with the UE capabilities</w:t>
      </w:r>
      <w:bookmarkEnd w:id="7"/>
      <w:bookmarkEnd w:id="8"/>
      <w:bookmarkEnd w:id="9"/>
    </w:p>
    <w:p w14:paraId="2F78F914" w14:textId="6726755C" w:rsidR="00762F9E" w:rsidRDefault="00762F9E" w:rsidP="00762F9E">
      <w:r>
        <w:t xml:space="preserve"> </w:t>
      </w:r>
    </w:p>
    <w:p w14:paraId="150130FB" w14:textId="70B35FE8" w:rsidR="005404BB" w:rsidRDefault="005404BB" w:rsidP="005404BB">
      <w:r>
        <w:lastRenderedPageBreak/>
        <w:t xml:space="preserve">The BWPs can be configured by dedicated signalling in the first RRCReconfiguration after connection establishment (i.e., when the NW knows the UE capabilities). However, already before that point in time the UE must read PDCCH and PDSCH to acquire SIB1, to receive Paging messages and to receive Msg2, Msg4 and the above-mentioned RRCReconfiguration. Hence, the UE must be configured with an “initial BWP”: </w:t>
      </w:r>
    </w:p>
    <w:tbl>
      <w:tblPr>
        <w:tblStyle w:val="TableGrid"/>
        <w:tblW w:w="0" w:type="auto"/>
        <w:tblLook w:val="05E0" w:firstRow="1" w:lastRow="1" w:firstColumn="1" w:lastColumn="1" w:noHBand="0" w:noVBand="1"/>
      </w:tblPr>
      <w:tblGrid>
        <w:gridCol w:w="9629"/>
      </w:tblGrid>
      <w:tr w:rsidR="005404BB" w14:paraId="57B4DC1D" w14:textId="77777777" w:rsidTr="005404BB">
        <w:tc>
          <w:tcPr>
            <w:tcW w:w="9629" w:type="dxa"/>
          </w:tcPr>
          <w:p w14:paraId="03B87B9C" w14:textId="4EA1342D" w:rsidR="005404BB" w:rsidRDefault="005404BB" w:rsidP="005404BB">
            <w:pPr>
              <w:tabs>
                <w:tab w:val="left" w:pos="340"/>
              </w:tabs>
              <w:ind w:left="340" w:hanging="340"/>
            </w:pPr>
            <w:r>
              <w:rPr>
                <w:b/>
              </w:rPr>
              <w:t xml:space="preserve">RAN1 Agreement: </w:t>
            </w:r>
          </w:p>
          <w:p w14:paraId="4C823FDF" w14:textId="77777777" w:rsidR="005404BB" w:rsidRDefault="005404BB" w:rsidP="005404BB">
            <w:pPr>
              <w:tabs>
                <w:tab w:val="left" w:pos="340"/>
              </w:tabs>
              <w:ind w:left="340" w:hanging="340"/>
            </w:pPr>
            <w:r>
              <w:t>•</w:t>
            </w:r>
            <w:r>
              <w:tab/>
              <w:t>There is an initial active DL/UL bandwidth part pair to be valid for a UE until the UE is explicitly (re)configured with bandwidth part(s) during or after RRC connection is established</w:t>
            </w:r>
          </w:p>
          <w:p w14:paraId="3BD91C3D" w14:textId="211BF60B" w:rsidR="005404BB" w:rsidRDefault="005404BB" w:rsidP="005404BB">
            <w:pPr>
              <w:tabs>
                <w:tab w:val="left" w:pos="340"/>
              </w:tabs>
              <w:ind w:left="340" w:hanging="340"/>
            </w:pPr>
            <w:r>
              <w:tab/>
              <w:t>–</w:t>
            </w:r>
            <w:r>
              <w:tab/>
              <w:t>The initial active DL/UL bandwidth part is confined within the UE minimum bandwidth for the given frequency band</w:t>
            </w:r>
          </w:p>
          <w:p w14:paraId="561AA83C" w14:textId="073F123B" w:rsidR="005404BB" w:rsidRPr="005404BB" w:rsidRDefault="005404BB" w:rsidP="000763A9">
            <w:pPr>
              <w:tabs>
                <w:tab w:val="left" w:pos="340"/>
              </w:tabs>
              <w:ind w:left="340" w:hanging="340"/>
            </w:pPr>
            <w:r>
              <w:tab/>
              <w:t>–</w:t>
            </w:r>
            <w:r>
              <w:tab/>
              <w:t>FFS: details of initial active DL/UL bandwidth part are discussed in initial access agend</w:t>
            </w:r>
            <w:r w:rsidR="000763A9">
              <w:t>a</w:t>
            </w:r>
          </w:p>
        </w:tc>
      </w:tr>
    </w:tbl>
    <w:p w14:paraId="2C734131" w14:textId="2CB72583" w:rsidR="005404BB" w:rsidRDefault="005404BB" w:rsidP="005404BB"/>
    <w:p w14:paraId="0926D0A2" w14:textId="36137739" w:rsidR="00762F9E" w:rsidRDefault="00762F9E" w:rsidP="005B1E84">
      <w:pPr>
        <w:pStyle w:val="Proposal"/>
      </w:pPr>
      <w:bookmarkStart w:id="10" w:name="_Toc494438035"/>
      <w:bookmarkStart w:id="11" w:name="_Toc494439208"/>
      <w:bookmarkStart w:id="12" w:name="_Toc494439362"/>
      <w:r>
        <w:t xml:space="preserve">The NW indicates the initialBWP in MIB. The UE acquires SIB1, other SI messages, Paging, Msg2 and Msg4 from the </w:t>
      </w:r>
      <w:r w:rsidR="009E753C">
        <w:t>initial</w:t>
      </w:r>
      <w:r>
        <w:t>BWP.</w:t>
      </w:r>
      <w:bookmarkEnd w:id="10"/>
      <w:bookmarkEnd w:id="11"/>
      <w:bookmarkEnd w:id="12"/>
    </w:p>
    <w:p w14:paraId="2B3BCE4C" w14:textId="47D5F7EE" w:rsidR="005B1E84" w:rsidRDefault="005B1E84" w:rsidP="005B1E84">
      <w:r>
        <w:t>A network may still decide to configure a wider initial BWP than some UEs support. This may be the case if the NW wants to optimize the SIB acquisition time or connection establishment time by using a wider bandwidth</w:t>
      </w:r>
      <w:r w:rsidR="00AD6E3B">
        <w:t xml:space="preserve">. But this situation may also occur if </w:t>
      </w:r>
      <w:r>
        <w:t xml:space="preserve">a legacy network does not yet support UEs with lower complexity. The UE discovers this based on the initial BWP configured in MIB and since it cannot acquire SIB1 it should consider the cell as barred. </w:t>
      </w:r>
    </w:p>
    <w:p w14:paraId="48ADCB75" w14:textId="30CEAFF6" w:rsidR="00762F9E" w:rsidRDefault="00762F9E" w:rsidP="005B1E84">
      <w:pPr>
        <w:pStyle w:val="Proposal"/>
      </w:pPr>
      <w:bookmarkStart w:id="13" w:name="_Toc494438036"/>
      <w:bookmarkStart w:id="14" w:name="_Toc494439209"/>
      <w:bookmarkStart w:id="15" w:name="_Toc494439363"/>
      <w:r>
        <w:t>A UE that does not s</w:t>
      </w:r>
      <w:r w:rsidR="009E753C">
        <w:t>upport the width of the initial</w:t>
      </w:r>
      <w:r>
        <w:t>BWP indicated in MIB considers the cell as barred.</w:t>
      </w:r>
      <w:bookmarkEnd w:id="13"/>
      <w:bookmarkEnd w:id="14"/>
      <w:bookmarkEnd w:id="15"/>
      <w:r>
        <w:t xml:space="preserve"> </w:t>
      </w:r>
    </w:p>
    <w:p w14:paraId="59231E1C" w14:textId="61E23D23" w:rsidR="00636CD3" w:rsidRDefault="00416D5B" w:rsidP="00636CD3">
      <w:r>
        <w:t>Upon successful connection establishment</w:t>
      </w:r>
      <w:r w:rsidR="00230A9B">
        <w:t>,</w:t>
      </w:r>
      <w:r>
        <w:t xml:space="preserve"> the network should configure a BWP in accordance with the UE capabilities. The BWP configuration is specific for a serving cell, i.e., the network must </w:t>
      </w:r>
      <w:r w:rsidR="00CD4B82">
        <w:t xml:space="preserve">at least a </w:t>
      </w:r>
      <w:r>
        <w:t xml:space="preserve">DL BWPs for each serving cell. </w:t>
      </w:r>
      <w:r w:rsidR="00CD4B82">
        <w:t>And UL BWP is configured for PCells and for SCells with configured UL</w:t>
      </w:r>
    </w:p>
    <w:p w14:paraId="6284BE72" w14:textId="1DCEAB93" w:rsidR="00416D5B" w:rsidRDefault="00416D5B" w:rsidP="00416D5B">
      <w:pPr>
        <w:pStyle w:val="Proposal"/>
      </w:pPr>
      <w:bookmarkStart w:id="16" w:name="_Toc494192967"/>
      <w:bookmarkStart w:id="17" w:name="_Toc494195922"/>
      <w:bookmarkStart w:id="18" w:name="_Toc494213054"/>
      <w:bookmarkStart w:id="19" w:name="_Toc494438037"/>
      <w:bookmarkStart w:id="20" w:name="_Toc494439210"/>
      <w:bookmarkStart w:id="21" w:name="_Toc494439364"/>
      <w:r>
        <w:t xml:space="preserve">The NW configures </w:t>
      </w:r>
      <w:r w:rsidR="00272EBF">
        <w:t>a</w:t>
      </w:r>
      <w:r>
        <w:t xml:space="preserve"> downlink BWP for each </w:t>
      </w:r>
      <w:bookmarkEnd w:id="16"/>
      <w:bookmarkEnd w:id="17"/>
      <w:bookmarkEnd w:id="18"/>
      <w:r w:rsidR="00CD4B82">
        <w:t xml:space="preserve">of the UE’s serving cells (in </w:t>
      </w:r>
      <w:r>
        <w:t>ServingCellConfig</w:t>
      </w:r>
      <w:r w:rsidRPr="00416D5B">
        <w:rPr>
          <w:u w:val="single"/>
        </w:rPr>
        <w:t>Dedicated</w:t>
      </w:r>
      <w:r w:rsidR="00CD4B82" w:rsidRPr="00CD4B82">
        <w:t>)</w:t>
      </w:r>
      <w:r>
        <w:t>.</w:t>
      </w:r>
      <w:bookmarkEnd w:id="19"/>
      <w:bookmarkEnd w:id="20"/>
      <w:bookmarkEnd w:id="21"/>
      <w:r>
        <w:t xml:space="preserve"> </w:t>
      </w:r>
    </w:p>
    <w:p w14:paraId="198AFA6D" w14:textId="796C3799" w:rsidR="00416D5B" w:rsidRDefault="00416D5B" w:rsidP="00416D5B">
      <w:pPr>
        <w:pStyle w:val="Proposal"/>
      </w:pPr>
      <w:bookmarkStart w:id="22" w:name="_Toc494438038"/>
      <w:bookmarkStart w:id="23" w:name="_Toc494439211"/>
      <w:bookmarkStart w:id="24" w:name="_Toc494439365"/>
      <w:r>
        <w:t xml:space="preserve">The NW configures </w:t>
      </w:r>
      <w:r w:rsidR="00272EBF">
        <w:t>a</w:t>
      </w:r>
      <w:r>
        <w:t xml:space="preserve"> uplink BWP for each of the UE’s serving cells with configured UL</w:t>
      </w:r>
      <w:r w:rsidRPr="00416D5B">
        <w:t xml:space="preserve"> </w:t>
      </w:r>
      <w:r w:rsidR="00CD4B82">
        <w:t>(</w:t>
      </w:r>
      <w:r>
        <w:t>in ServingCellConfig</w:t>
      </w:r>
      <w:r w:rsidRPr="00416D5B">
        <w:rPr>
          <w:u w:val="single"/>
        </w:rPr>
        <w:t>Dedicated</w:t>
      </w:r>
      <w:r w:rsidR="00CD4B82" w:rsidRPr="00CD4B82">
        <w:t>)</w:t>
      </w:r>
      <w:r>
        <w:t>.</w:t>
      </w:r>
      <w:bookmarkEnd w:id="22"/>
      <w:bookmarkEnd w:id="23"/>
      <w:bookmarkEnd w:id="24"/>
      <w:r>
        <w:t xml:space="preserve"> </w:t>
      </w:r>
    </w:p>
    <w:p w14:paraId="479DDC92" w14:textId="5C50069A" w:rsidR="00B10C12" w:rsidRDefault="00B10C12" w:rsidP="00416D5B">
      <w:pPr>
        <w:pStyle w:val="Proposal"/>
      </w:pPr>
      <w:bookmarkStart w:id="25" w:name="_Toc494438039"/>
      <w:bookmarkStart w:id="26" w:name="_Toc494439212"/>
      <w:bookmarkStart w:id="27" w:name="_Toc494439366"/>
      <w:r>
        <w:t>If RAN4 decides that the NW advertises the carrier bandwidth (e.g. in MIB/SIB1), RAN2 may consider omitting the BWP configuration if the UE supports the full carrier bandwidth.</w:t>
      </w:r>
      <w:bookmarkEnd w:id="25"/>
      <w:bookmarkEnd w:id="26"/>
      <w:bookmarkEnd w:id="27"/>
      <w:r>
        <w:t xml:space="preserve"> </w:t>
      </w:r>
    </w:p>
    <w:p w14:paraId="00B1A613" w14:textId="6E7F18B0" w:rsidR="00AB55C0" w:rsidRDefault="00BD44BB" w:rsidP="00BD44BB">
      <w:pPr>
        <w:pStyle w:val="Heading2"/>
      </w:pPr>
      <w:bookmarkStart w:id="28" w:name="_Ref494434076"/>
      <w:r>
        <w:t>BWP with and without SSB</w:t>
      </w:r>
      <w:bookmarkEnd w:id="28"/>
    </w:p>
    <w:p w14:paraId="2076F8B7" w14:textId="7E30EBFA" w:rsidR="00AB55C0" w:rsidRDefault="008E1C97" w:rsidP="00AB55C0">
      <w:r>
        <w:t xml:space="preserve">In </w:t>
      </w:r>
      <w:r w:rsidR="00263D11">
        <w:t>LTE,</w:t>
      </w:r>
      <w:r>
        <w:t xml:space="preserve"> each cell was characterized by its center frequency (UL+DL for FDD), by the carrier bandwidth, and by the physical cell ID conveyed in PSS/SSS. The PSS/SSS used to be at the carrier’s center frequency. </w:t>
      </w:r>
    </w:p>
    <w:p w14:paraId="4E946D26" w14:textId="6BCA7A9B" w:rsidR="008E1C97" w:rsidRDefault="00263D11" w:rsidP="00AB55C0">
      <w:r>
        <w:t>In NR,</w:t>
      </w:r>
      <w:r w:rsidR="008E1C97">
        <w:t xml:space="preserve"> the SSB-frequency is not necessarily the center frequency </w:t>
      </w:r>
      <w:r w:rsidR="00EC74C4">
        <w:t xml:space="preserve">which will require signalling both values or one value and an offset (as already discussed in the context of RRM measurements). </w:t>
      </w:r>
    </w:p>
    <w:p w14:paraId="25622D63" w14:textId="74A3CAB1" w:rsidR="00C278E7" w:rsidRDefault="00EC74C4" w:rsidP="00AB55C0">
      <w:r>
        <w:t xml:space="preserve">Upon initial access, the UE must discover the (one) SSB, acquire sync, acquire MIB and then attempt to read SIB1. </w:t>
      </w:r>
      <w:r w:rsidR="00C278E7">
        <w:t xml:space="preserve">At this point the UE has </w:t>
      </w:r>
      <w:r w:rsidR="00C278E7" w:rsidRPr="00C278E7">
        <w:rPr>
          <w:u w:val="single"/>
        </w:rPr>
        <w:t>selected the cell</w:t>
      </w:r>
      <w:r w:rsidR="00C278E7">
        <w:t xml:space="preserve">, i.e., an SSB on a certain frequency. </w:t>
      </w:r>
    </w:p>
    <w:p w14:paraId="01921B92" w14:textId="442FE30A" w:rsidR="00EC74C4" w:rsidRDefault="00EC74C4" w:rsidP="00AB55C0">
      <w:r>
        <w:t xml:space="preserve">When the UE establishes an RRC connection, the NW may configure a dedicated BWP as explained in section </w:t>
      </w:r>
      <w:r>
        <w:fldChar w:fldCharType="begin"/>
      </w:r>
      <w:r>
        <w:instrText xml:space="preserve"> REF _Ref494434076 \r \h </w:instrText>
      </w:r>
      <w:r>
        <w:fldChar w:fldCharType="separate"/>
      </w:r>
      <w:r w:rsidR="00886CA2">
        <w:t>2.3</w:t>
      </w:r>
      <w:r>
        <w:fldChar w:fldCharType="end"/>
      </w:r>
      <w:r>
        <w:t xml:space="preserve">. That BWP may overlap with the </w:t>
      </w:r>
      <w:r w:rsidR="00C278E7">
        <w:t xml:space="preserve">SSB’s frequency. If so, the UE is able to (re-)acquire the SSB at any time in order to re-gain sync and to perform SS-based measurements. </w:t>
      </w:r>
    </w:p>
    <w:p w14:paraId="029BAD0E" w14:textId="6D866CE9" w:rsidR="00C278E7" w:rsidRDefault="00C278E7" w:rsidP="00CE202D">
      <w:pPr>
        <w:pStyle w:val="Observation"/>
      </w:pPr>
      <w:bookmarkStart w:id="29" w:name="_Toc494438025"/>
      <w:bookmarkStart w:id="30" w:name="_Toc494439198"/>
      <w:bookmarkStart w:id="31" w:name="_Toc494439352"/>
      <w:r>
        <w:t xml:space="preserve">If the UE’s DL BWP coincides with the SSB-frequency of the UE’s serving cell, the </w:t>
      </w:r>
      <w:r w:rsidR="00CE202D">
        <w:t xml:space="preserve">UE does </w:t>
      </w:r>
      <w:r w:rsidR="00CE202D" w:rsidRPr="00CE202D">
        <w:rPr>
          <w:u w:val="single"/>
        </w:rPr>
        <w:t>not</w:t>
      </w:r>
      <w:r w:rsidR="00CE202D">
        <w:t xml:space="preserve"> require </w:t>
      </w:r>
      <w:r w:rsidR="00CE202D" w:rsidRPr="00CE202D">
        <w:t xml:space="preserve">inter-frequency measurement gaps </w:t>
      </w:r>
      <w:r w:rsidR="00CE202D">
        <w:t xml:space="preserve">to </w:t>
      </w:r>
      <w:r w:rsidRPr="00C278E7">
        <w:t>(re-)acquire the SSB and to perform SS-based measurements</w:t>
      </w:r>
      <w:r>
        <w:t>.</w:t>
      </w:r>
      <w:bookmarkEnd w:id="29"/>
      <w:bookmarkEnd w:id="30"/>
      <w:bookmarkEnd w:id="31"/>
      <w:r>
        <w:t xml:space="preserve"> </w:t>
      </w:r>
    </w:p>
    <w:p w14:paraId="2D57E267" w14:textId="04041449" w:rsidR="0004691D" w:rsidRDefault="0004691D" w:rsidP="0004691D">
      <w:r>
        <w:t>However, if operating bandwidth of a cell (carrier) is wide and if many UEs have an operation bandwidth which is significantly narrower than the carrier bandwidth</w:t>
      </w:r>
      <w:r w:rsidR="00315676">
        <w:t xml:space="preserve">, the network will allocate UEs to BWPs that do not coincide the with SSB frequency in order to balance the load and to maximize the system capacity. As in LTE Cat-M1 this implies that these UEs </w:t>
      </w:r>
      <w:r w:rsidR="00BC0238">
        <w:t xml:space="preserve">need (inter-frequency, intra-carrier) measurement gaps to re-sync with their serving cell’s SSB and to detect and measure neighbour cells. </w:t>
      </w:r>
    </w:p>
    <w:p w14:paraId="309A3A34" w14:textId="1F11280C" w:rsidR="00561990" w:rsidRDefault="00561990" w:rsidP="00561990">
      <w:pPr>
        <w:pStyle w:val="Observation"/>
      </w:pPr>
      <w:bookmarkStart w:id="32" w:name="_Ref494436222"/>
      <w:bookmarkStart w:id="33" w:name="_Toc494438026"/>
      <w:bookmarkStart w:id="34" w:name="_Toc494439199"/>
      <w:bookmarkStart w:id="35" w:name="_Toc494439353"/>
      <w:r>
        <w:lastRenderedPageBreak/>
        <w:t xml:space="preserve">If the UE’s DL BWP does </w:t>
      </w:r>
      <w:r w:rsidRPr="00561990">
        <w:rPr>
          <w:u w:val="single"/>
        </w:rPr>
        <w:t>not</w:t>
      </w:r>
      <w:r>
        <w:t xml:space="preserve"> coincide with the SSB-frequency of the UE’s serving cell, the </w:t>
      </w:r>
      <w:r w:rsidR="00CE202D">
        <w:t xml:space="preserve">UE requires inter-frequency (intra-carrier) measurement gaps to </w:t>
      </w:r>
      <w:r w:rsidRPr="00C278E7">
        <w:t>(re-)acquire the SSB and to perform SS-based measurements</w:t>
      </w:r>
      <w:r>
        <w:t>.</w:t>
      </w:r>
      <w:bookmarkEnd w:id="32"/>
      <w:bookmarkEnd w:id="33"/>
      <w:bookmarkEnd w:id="34"/>
      <w:bookmarkEnd w:id="35"/>
      <w:r>
        <w:t xml:space="preserve"> </w:t>
      </w:r>
    </w:p>
    <w:p w14:paraId="7411AA7D" w14:textId="16B05F93" w:rsidR="00CF4EAB" w:rsidRDefault="009E1DC0" w:rsidP="0004691D">
      <w:r w:rsidRPr="009E6894">
        <w:rPr>
          <w:b/>
        </w:rPr>
        <w:t>What may appear as a problem is just a natural consequence of the decision to deploy a cell with a wide operating bandwidth with just a single SSB</w:t>
      </w:r>
      <w:r>
        <w:t xml:space="preserve"> and a single occurrence of System Information.</w:t>
      </w:r>
      <w:r w:rsidR="00332F35">
        <w:t xml:space="preserve"> Nevertheless, RAN1 suggests </w:t>
      </w:r>
      <w:r w:rsidR="00AB090B">
        <w:t>introducing</w:t>
      </w:r>
      <w:r w:rsidR="00332F35">
        <w:t xml:space="preserve"> the possibility to inform a UE about additional SSB frequencies within a carrier and thereby to ensure that each/more UE find an SSB in their configured BWP. At a first glance this would remove the need for measurement gaps. However, </w:t>
      </w:r>
      <w:r w:rsidR="001A1C3F">
        <w:t>it does not fit to the way how RAN2 defined RRM measurements: In most RRM measurement events the UE compares a neighbour cell</w:t>
      </w:r>
      <w:r w:rsidR="00A079FA">
        <w:t xml:space="preserve"> to the </w:t>
      </w:r>
      <w:r w:rsidR="00A079FA" w:rsidRPr="00A079FA">
        <w:rPr>
          <w:b/>
        </w:rPr>
        <w:t>serving cell</w:t>
      </w:r>
      <w:r w:rsidR="00A079FA">
        <w:t xml:space="preserve">. </w:t>
      </w:r>
      <w:r w:rsidR="00E93017">
        <w:t>As explained above, a cell is characterized by an SSB on a certain frequency and by the associated SIB1. The UE selects such cell (initial access) or is configured with that serving cell (HO, SCell addition).</w:t>
      </w:r>
      <w:r w:rsidR="00CF4EAB">
        <w:t xml:space="preserve"> This seems to suggest that a UE being configured with a BWP containing its own SSB should be moved to that cell, i.e., the UE must do an inter-frequency HO from its original serving cell’s SSB to the BWP’s SSB. If that SSB is also associated with system information (at least SIB1) the UE can camp on that SSB... which is actually just another cell. </w:t>
      </w:r>
    </w:p>
    <w:p w14:paraId="2B8AE932" w14:textId="62B608CA" w:rsidR="00561990" w:rsidRDefault="00CF4EAB" w:rsidP="00CF4EAB">
      <w:pPr>
        <w:pStyle w:val="Observation"/>
      </w:pPr>
      <w:bookmarkStart w:id="36" w:name="_Toc494438027"/>
      <w:bookmarkStart w:id="37" w:name="_Toc494439200"/>
      <w:bookmarkStart w:id="38" w:name="_Toc494439354"/>
      <w:r>
        <w:t xml:space="preserve">Configuring a UE with a BWP and an SSB inside that BWP is equivalent </w:t>
      </w:r>
      <w:r w:rsidR="00441AE5">
        <w:t>to an inter-frequency HO if that SSB is associated with at least SIB1.</w:t>
      </w:r>
      <w:bookmarkEnd w:id="36"/>
      <w:bookmarkEnd w:id="37"/>
      <w:bookmarkEnd w:id="38"/>
      <w:r w:rsidR="00441AE5">
        <w:t xml:space="preserve"> </w:t>
      </w:r>
    </w:p>
    <w:p w14:paraId="31F2CF56" w14:textId="6AC902D5" w:rsidR="00CF4EAB" w:rsidRDefault="00CF4EAB" w:rsidP="00CF4EAB">
      <w:r w:rsidRPr="00CF4EAB">
        <w:t>This ensures that all RRM m</w:t>
      </w:r>
      <w:r>
        <w:t xml:space="preserve">easurement definitions remain unchanged, i.e., the UE consider simply that new SSB as its serving cell and searches (typically) for neighbour cells’ SSBs on the same frequency. </w:t>
      </w:r>
    </w:p>
    <w:p w14:paraId="296F0BD1" w14:textId="168667C4" w:rsidR="00CF4EAB" w:rsidRDefault="00E66E21" w:rsidP="00CF4EAB">
      <w:r>
        <w:t>However, i</w:t>
      </w:r>
      <w:r w:rsidR="00CF4EAB">
        <w:t>f the “additional SSB”</w:t>
      </w:r>
      <w:r>
        <w:t xml:space="preserve"> does not point to a SIB1, the UE can by definition not camp on it and not use it as a PCell. Hence, the NW cannot “handover” the UE to the “additional SSB”. </w:t>
      </w:r>
    </w:p>
    <w:p w14:paraId="3D479176" w14:textId="01CADBE5" w:rsidR="00441AE5" w:rsidRDefault="00441AE5" w:rsidP="00441AE5">
      <w:pPr>
        <w:pStyle w:val="Observation"/>
      </w:pPr>
      <w:bookmarkStart w:id="39" w:name="_Toc494438028"/>
      <w:bookmarkStart w:id="40" w:name="_Toc494439201"/>
      <w:bookmarkStart w:id="41" w:name="_Toc494439355"/>
      <w:r>
        <w:t>If the BWP and its SSB are not associated with a SIB1, a UE cannot camp on that “cell” and it cannot use it as PCell.</w:t>
      </w:r>
      <w:bookmarkEnd w:id="39"/>
      <w:bookmarkEnd w:id="40"/>
      <w:bookmarkEnd w:id="41"/>
      <w:r>
        <w:t xml:space="preserve"> </w:t>
      </w:r>
    </w:p>
    <w:p w14:paraId="5E628C2C" w14:textId="4FD2D99D" w:rsidR="00441AE5" w:rsidRDefault="000A0F10" w:rsidP="000C4658">
      <w:r>
        <w:t>It would be possible to configure that additional SSB in the BWP as SCell and to configure e.g. an A6 event to discover neighbours on the additional SSB’s frequency. Those measurements could be done without gaps. However, a UE must also be able to measure its PCell, i.e., the original SSB. That is however only possible with measurement gaps (</w:t>
      </w:r>
      <w:r>
        <w:fldChar w:fldCharType="begin"/>
      </w:r>
      <w:r>
        <w:instrText xml:space="preserve"> REF _Ref494436222 \r \h </w:instrText>
      </w:r>
      <w:r>
        <w:fldChar w:fldCharType="separate"/>
      </w:r>
      <w:r w:rsidR="00886CA2">
        <w:t>Observation 3</w:t>
      </w:r>
      <w:r>
        <w:fldChar w:fldCharType="end"/>
      </w:r>
      <w:r>
        <w:t xml:space="preserve">). </w:t>
      </w:r>
      <w:r w:rsidR="00897485">
        <w:t>Unfortunately, the sole purpose of the additional SSB in the BWP was to avoid configuring measurement gaps.</w:t>
      </w:r>
    </w:p>
    <w:p w14:paraId="7C01350A" w14:textId="5F865A5A" w:rsidR="00476E7C" w:rsidRDefault="00476E7C" w:rsidP="00476E7C">
      <w:pPr>
        <w:pStyle w:val="Observation"/>
      </w:pPr>
      <w:bookmarkStart w:id="42" w:name="_Toc494438029"/>
      <w:bookmarkStart w:id="43" w:name="_Toc494439202"/>
      <w:bookmarkStart w:id="44" w:name="_Toc494439356"/>
      <w:r>
        <w:t>Since a UE is required to measure on its PCell and to acquire SI there, it would need gaps even if it is configured with an additional SSB inside its BWP.</w:t>
      </w:r>
      <w:bookmarkEnd w:id="42"/>
      <w:bookmarkEnd w:id="43"/>
      <w:bookmarkEnd w:id="44"/>
      <w:r>
        <w:t xml:space="preserve"> </w:t>
      </w:r>
    </w:p>
    <w:p w14:paraId="40451460" w14:textId="5F64864D" w:rsidR="0043097C" w:rsidRDefault="0043097C" w:rsidP="0043097C">
      <w:r>
        <w:t xml:space="preserve">RAN1 did not </w:t>
      </w:r>
      <w:r w:rsidR="003103F3">
        <w:t xml:space="preserve">primarily </w:t>
      </w:r>
      <w:r>
        <w:t>consider the additional SSB in the BWP as an SCell. The intention seems to be to provide the UE with the information that there is an additional SSBs for sync. Obviously</w:t>
      </w:r>
      <w:r w:rsidR="003103F3">
        <w:t>,</w:t>
      </w:r>
      <w:r>
        <w:t xml:space="preserve"> this will not change the root cause of the problem (since gaps are still necessary to acquire the “PCell SSB” and the associated SI) and it requires changes to the RRM event definitions which currently know only serving cells (PCell/SCell) and no “additional SSBs”. </w:t>
      </w:r>
    </w:p>
    <w:p w14:paraId="68D067C1" w14:textId="1F9D732A" w:rsidR="00F17DA9" w:rsidRDefault="00F17DA9" w:rsidP="0043097C">
      <w:r>
        <w:t xml:space="preserve">Of course, not only the RRM measurement framework but also the other radio resource configuration and the UE capability signalling would require significant changes to configure “additional SSBs” for a UEs serving cell. Modelling “additional SSB” as CA SCells is already possible without further changes. </w:t>
      </w:r>
    </w:p>
    <w:p w14:paraId="5F8A382D" w14:textId="43A633E2" w:rsidR="00F17DA9" w:rsidRDefault="00F17DA9" w:rsidP="007959D9">
      <w:pPr>
        <w:pStyle w:val="Observation"/>
      </w:pPr>
      <w:bookmarkStart w:id="45" w:name="_Toc494438030"/>
      <w:bookmarkStart w:id="46" w:name="_Toc494439203"/>
      <w:bookmarkStart w:id="47" w:name="_Toc494439357"/>
      <w:r>
        <w:t>The possibility to configure “additional SSBs” for a UEs serv</w:t>
      </w:r>
      <w:r w:rsidR="005B4028">
        <w:t>ing cell would have significant</w:t>
      </w:r>
      <w:r>
        <w:t xml:space="preserve"> impact to the RRM framework, to the actual resource configuration signalling and to the UE capability signalling.</w:t>
      </w:r>
      <w:bookmarkEnd w:id="45"/>
      <w:bookmarkEnd w:id="46"/>
      <w:bookmarkEnd w:id="47"/>
      <w:r>
        <w:t xml:space="preserve"> </w:t>
      </w:r>
    </w:p>
    <w:p w14:paraId="02C290CA" w14:textId="01461B83" w:rsidR="007959D9" w:rsidRDefault="00F17DA9" w:rsidP="007959D9">
      <w:pPr>
        <w:pStyle w:val="Observation"/>
      </w:pPr>
      <w:bookmarkStart w:id="48" w:name="_Toc494438031"/>
      <w:bookmarkStart w:id="49" w:name="_Toc494439204"/>
      <w:bookmarkStart w:id="50" w:name="_Toc494439358"/>
      <w:r>
        <w:t>Using SCells instead of “additional SSB” is already supported without further changes.</w:t>
      </w:r>
      <w:bookmarkEnd w:id="48"/>
      <w:bookmarkEnd w:id="49"/>
      <w:bookmarkEnd w:id="50"/>
      <w:r>
        <w:t xml:space="preserve"> </w:t>
      </w:r>
    </w:p>
    <w:p w14:paraId="3C78BC89" w14:textId="3171BA25" w:rsidR="000F5491" w:rsidRDefault="00B44F21" w:rsidP="00692567">
      <w:r>
        <w:t xml:space="preserve">This leaves the question whether it could be more </w:t>
      </w:r>
      <w:r w:rsidR="000C4060">
        <w:t xml:space="preserve">resource </w:t>
      </w:r>
      <w:r>
        <w:t>efficient to use a wide carrier with several SSBs instead of splitting the carrier into several “narrower” (e.g. 100 MHz each) carriers and to apply CA for the UEs that support this.</w:t>
      </w:r>
      <w:r w:rsidR="000F5491">
        <w:t xml:space="preserve"> Traditionally, adjacent carriers required a guard band so that even a UE configured for contiguous carrier aggregation across those carriers could not use the full bandwidth. However, RAN4 informed RAN1 and RAN2 that NR should support adjacent carriers without such guard bands. </w:t>
      </w:r>
    </w:p>
    <w:p w14:paraId="799A232A" w14:textId="68633029" w:rsidR="00692567" w:rsidRDefault="000F5491" w:rsidP="000F5491">
      <w:pPr>
        <w:pStyle w:val="Observation"/>
      </w:pPr>
      <w:bookmarkStart w:id="51" w:name="_Toc494438032"/>
      <w:bookmarkStart w:id="52" w:name="_Toc494439205"/>
      <w:bookmarkStart w:id="53" w:name="_Toc494439359"/>
      <w:r>
        <w:t>The possibility to reduce or omit guard bands in between adjacent carriers renders “wide carriers with several SSBs” and “several narrower carriers” equivalent in terms of resource efficiency.</w:t>
      </w:r>
      <w:bookmarkEnd w:id="51"/>
      <w:bookmarkEnd w:id="52"/>
      <w:bookmarkEnd w:id="53"/>
      <w:r>
        <w:t xml:space="preserve"> </w:t>
      </w:r>
    </w:p>
    <w:p w14:paraId="403B80A4" w14:textId="1C06EE77" w:rsidR="000F5491" w:rsidRDefault="000F5491" w:rsidP="000F5491">
      <w:r>
        <w:t xml:space="preserve">Furthermore, the overhead due to SSBs is anyway present in both variants. Omitting the SIB1 could be seen as an advantage in terms of overhead but the overhead due to one SSB1 on a 100 MHz carrier can be considered negligible. Further, one should bear in mind that </w:t>
      </w:r>
      <w:r w:rsidR="003F10BE">
        <w:t xml:space="preserve">the additional cells with their own system </w:t>
      </w:r>
      <w:r w:rsidR="003F10BE">
        <w:lastRenderedPageBreak/>
        <w:t xml:space="preserve">information enable load balancing for IDLE UEs and hence they increase the available resources for initial access... which tend to be limiting in today’s networks. </w:t>
      </w:r>
    </w:p>
    <w:p w14:paraId="04CDAEFA" w14:textId="35A7026E" w:rsidR="006E3440" w:rsidRPr="0004691D" w:rsidRDefault="006E6E39" w:rsidP="006E3440">
      <w:pPr>
        <w:pStyle w:val="Proposal"/>
      </w:pPr>
      <w:bookmarkStart w:id="54" w:name="_Toc494438040"/>
      <w:bookmarkStart w:id="55" w:name="_Toc494439213"/>
      <w:bookmarkStart w:id="56" w:name="_Toc494439367"/>
      <w:r>
        <w:t xml:space="preserve">RAN2 focuses on solutions </w:t>
      </w:r>
      <w:r w:rsidR="00B124E5">
        <w:t xml:space="preserve">that use BWP to serve UEs with an operating bandwidth smaller than the serving cell’s operating bandwidth (carrier frequency). </w:t>
      </w:r>
      <w:r w:rsidR="006E3440">
        <w:t>Down-prioritize solutions where a UE is configured with “additional SSBs” and rely on CA instead</w:t>
      </w:r>
      <w:bookmarkEnd w:id="54"/>
      <w:r w:rsidR="000C4060">
        <w:t xml:space="preserve">, i.e., split a wide carrier into narrower carriers with their own serving cells and apply CA for UEs supporting it. </w:t>
      </w:r>
      <w:r w:rsidR="003F109F">
        <w:t>Alternatively, deploy a wide carrier and configure measurement gaps for UEs using a narrow BWP not coinciding with the cell’s SSB frequency .</w:t>
      </w:r>
      <w:bookmarkEnd w:id="55"/>
      <w:bookmarkEnd w:id="56"/>
    </w:p>
    <w:p w14:paraId="2C5C25BC" w14:textId="459A5F91" w:rsidR="00D814D1" w:rsidRDefault="00D814D1" w:rsidP="00D814D1">
      <w:pPr>
        <w:pStyle w:val="Heading2"/>
      </w:pPr>
      <w:r>
        <w:t>Changing the BWP</w:t>
      </w:r>
    </w:p>
    <w:p w14:paraId="456B0761" w14:textId="1D499EC1" w:rsidR="00416D5B" w:rsidRDefault="00272EBF" w:rsidP="00636CD3">
      <w:r>
        <w:t xml:space="preserve">A change of the BWP will typically require re-tuning the UE’s RF. Such RF re-tuning occurred e.g. upon SCell Activation/Deactivation in LTE. Based on RAN4 assessment it caused at least interruptions (glitches) in the order of a subframe. Activating a new carrier was found to take up to ~30 ms. </w:t>
      </w:r>
      <w:r w:rsidR="00443575">
        <w:t xml:space="preserve">RAN4 has not investigated </w:t>
      </w:r>
      <w:r w:rsidR="00002694">
        <w:t xml:space="preserve">how long it may take to switch among BWPs. It may depend on whether the BWPs use the same SSB as sync reference and on whether one BWP is just a subset of the other BWP or not. We expect that RAN4 will discuss the details and assume for the time being the following: </w:t>
      </w:r>
      <w:r w:rsidR="00A333CC">
        <w:t xml:space="preserve"> </w:t>
      </w:r>
    </w:p>
    <w:p w14:paraId="572987FD" w14:textId="77777777" w:rsidR="00002694" w:rsidRDefault="005F5FDE" w:rsidP="00A333CC">
      <w:pPr>
        <w:pStyle w:val="Observation"/>
      </w:pPr>
      <w:bookmarkStart w:id="57" w:name="_Toc494438033"/>
      <w:bookmarkStart w:id="58" w:name="_Toc494439206"/>
      <w:bookmarkStart w:id="59" w:name="_Toc494439360"/>
      <w:r>
        <w:t xml:space="preserve">Changing of or switching among BWPs implies RF re-tuning which </w:t>
      </w:r>
      <w:r w:rsidR="00002694">
        <w:t xml:space="preserve">will likely </w:t>
      </w:r>
      <w:r>
        <w:t xml:space="preserve">causes glitches </w:t>
      </w:r>
      <w:r w:rsidR="00002694">
        <w:t>and interruptions of control and data channels</w:t>
      </w:r>
      <w:r>
        <w:t>.</w:t>
      </w:r>
      <w:bookmarkEnd w:id="57"/>
      <w:bookmarkEnd w:id="58"/>
      <w:bookmarkEnd w:id="59"/>
      <w:r>
        <w:t xml:space="preserve"> </w:t>
      </w:r>
    </w:p>
    <w:p w14:paraId="4A1C0C1E" w14:textId="6CA29B06" w:rsidR="00002694" w:rsidRDefault="00002694" w:rsidP="00002694">
      <w:r>
        <w:t xml:space="preserve">RAN1 discussed the possibility to configure several possibly overlapping BWPs via RRC and to toggle then more dynamically by L1 control signalling. Naturally, such two-level configurations increase the complexity and should only be considered if the are known to give significant benefits. If the RF switching time (glitch/interruption) is in the order of the RRC signalling delay, advanced signalling schemes give obviously no noticeable benefits. But even if the RF delays are lower the actual benefits of reducing the signalling delay should be quantified. </w:t>
      </w:r>
    </w:p>
    <w:p w14:paraId="0D574172" w14:textId="0B201D6A" w:rsidR="00002694" w:rsidRDefault="00002694" w:rsidP="00800F84">
      <w:pPr>
        <w:pStyle w:val="Proposal"/>
      </w:pPr>
      <w:bookmarkStart w:id="60" w:name="_Toc494438041"/>
      <w:bookmarkStart w:id="61" w:name="_Toc494439214"/>
      <w:bookmarkStart w:id="62" w:name="_Toc494439368"/>
      <w:r>
        <w:t>Advanced signalling schemes for switching the BWP configuration should not be discussed before RAN4 has analysed the expected glitches/interruptions</w:t>
      </w:r>
      <w:r w:rsidR="00886CA2">
        <w:t xml:space="preserve"> and they should </w:t>
      </w:r>
      <w:bookmarkStart w:id="63" w:name="_Toc494438042"/>
      <w:bookmarkStart w:id="64" w:name="_Toc494439215"/>
      <w:bookmarkEnd w:id="60"/>
      <w:bookmarkEnd w:id="61"/>
      <w:r>
        <w:t>only be considered if they are proven to offer significant gains over RRC configuration and over CA configurations (offering MAC based activation/deactivation).</w:t>
      </w:r>
      <w:bookmarkEnd w:id="62"/>
      <w:bookmarkEnd w:id="63"/>
      <w:bookmarkEnd w:id="64"/>
    </w:p>
    <w:p w14:paraId="3A3FFB89" w14:textId="77777777" w:rsidR="00655AB8" w:rsidRPr="00BF34FD" w:rsidRDefault="00655AB8" w:rsidP="00655AB8">
      <w:pPr>
        <w:pStyle w:val="Proposal"/>
        <w:numPr>
          <w:ilvl w:val="0"/>
          <w:numId w:val="0"/>
        </w:numPr>
        <w:ind w:left="1701" w:hanging="1701"/>
      </w:pPr>
    </w:p>
    <w:p w14:paraId="50D7EF1D" w14:textId="77777777" w:rsidR="00C01F33" w:rsidRPr="00CE0424" w:rsidRDefault="00C01F33" w:rsidP="00CE0424">
      <w:pPr>
        <w:pStyle w:val="Heading1"/>
      </w:pPr>
      <w:r w:rsidRPr="00CE0424">
        <w:lastRenderedPageBreak/>
        <w:t>Conclusion</w:t>
      </w:r>
    </w:p>
    <w:p w14:paraId="322AD405" w14:textId="77777777" w:rsidR="00886CA2"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86CA2">
        <w:t>2</w:t>
      </w:r>
      <w:r w:rsidRPr="00CE0424">
        <w:rPr>
          <w:highlight w:val="cyan"/>
        </w:rPr>
        <w:fldChar w:fldCharType="end"/>
      </w:r>
      <w:r w:rsidRPr="00CE0424">
        <w:t xml:space="preserve"> we </w:t>
      </w:r>
      <w:r>
        <w:t>made the following observations</w:t>
      </w:r>
      <w:r w:rsidRPr="00CE0424">
        <w:t>:</w:t>
      </w:r>
      <w:r>
        <w:rPr>
          <w:b w:val="0"/>
          <w:bCs/>
        </w:rPr>
        <w:fldChar w:fldCharType="begin"/>
      </w:r>
      <w:r>
        <w:rPr>
          <w:bCs/>
        </w:rPr>
        <w:instrText xml:space="preserve"> TOC \f \n \t "Observation;1" </w:instrText>
      </w:r>
      <w:r>
        <w:rPr>
          <w:b w:val="0"/>
          <w:bCs/>
        </w:rPr>
        <w:fldChar w:fldCharType="separate"/>
      </w:r>
    </w:p>
    <w:p w14:paraId="30149FE8" w14:textId="77777777" w:rsidR="00886CA2" w:rsidRPr="00886CA2" w:rsidRDefault="00886CA2">
      <w:pPr>
        <w:pStyle w:val="TOC1"/>
        <w:rPr>
          <w:rFonts w:asciiTheme="minorHAnsi" w:eastAsiaTheme="minorEastAsia" w:hAnsiTheme="minorHAnsi" w:cstheme="minorBidi"/>
          <w:b w:val="0"/>
          <w:sz w:val="22"/>
          <w:lang w:val="en-GB" w:eastAsia="de-DE"/>
        </w:rPr>
      </w:pPr>
      <w:r>
        <w:t>Observation 1</w:t>
      </w:r>
      <w:r w:rsidRPr="00886CA2">
        <w:rPr>
          <w:rFonts w:asciiTheme="minorHAnsi" w:eastAsiaTheme="minorEastAsia" w:hAnsiTheme="minorHAnsi" w:cstheme="minorBidi"/>
          <w:b w:val="0"/>
          <w:sz w:val="22"/>
          <w:lang w:val="en-GB" w:eastAsia="de-DE"/>
        </w:rPr>
        <w:tab/>
      </w:r>
      <w:r>
        <w:t>A BWP is smaller or equal to (but not larger than) than the carrier bandwidth.</w:t>
      </w:r>
    </w:p>
    <w:p w14:paraId="224743D3" w14:textId="77777777" w:rsidR="00886CA2" w:rsidRPr="00886CA2" w:rsidRDefault="00886CA2">
      <w:pPr>
        <w:pStyle w:val="TOC1"/>
        <w:rPr>
          <w:rFonts w:asciiTheme="minorHAnsi" w:eastAsiaTheme="minorEastAsia" w:hAnsiTheme="minorHAnsi" w:cstheme="minorBidi"/>
          <w:b w:val="0"/>
          <w:sz w:val="22"/>
          <w:lang w:val="en-GB" w:eastAsia="de-DE"/>
        </w:rPr>
      </w:pPr>
      <w:r>
        <w:t>Observation 2</w:t>
      </w:r>
      <w:r w:rsidRPr="00886CA2">
        <w:rPr>
          <w:rFonts w:asciiTheme="minorHAnsi" w:eastAsiaTheme="minorEastAsia" w:hAnsiTheme="minorHAnsi" w:cstheme="minorBidi"/>
          <w:b w:val="0"/>
          <w:sz w:val="22"/>
          <w:lang w:val="en-GB" w:eastAsia="de-DE"/>
        </w:rPr>
        <w:tab/>
      </w:r>
      <w:r>
        <w:t xml:space="preserve">If the UE’s DL BWP coincides with the SSB-frequency of the UE’s serving cell, the UE does </w:t>
      </w:r>
      <w:r w:rsidRPr="00FC7975">
        <w:rPr>
          <w:u w:val="single"/>
        </w:rPr>
        <w:t>not</w:t>
      </w:r>
      <w:r>
        <w:t xml:space="preserve"> require inter-frequency measurement gaps to (re-)acquire the SSB and to perform SS-based measurements.</w:t>
      </w:r>
    </w:p>
    <w:p w14:paraId="2301C681" w14:textId="77777777" w:rsidR="00886CA2" w:rsidRPr="00886CA2" w:rsidRDefault="00886CA2">
      <w:pPr>
        <w:pStyle w:val="TOC1"/>
        <w:rPr>
          <w:rFonts w:asciiTheme="minorHAnsi" w:eastAsiaTheme="minorEastAsia" w:hAnsiTheme="minorHAnsi" w:cstheme="minorBidi"/>
          <w:b w:val="0"/>
          <w:sz w:val="22"/>
          <w:lang w:val="en-GB" w:eastAsia="de-DE"/>
        </w:rPr>
      </w:pPr>
      <w:r>
        <w:t>Observation 3</w:t>
      </w:r>
      <w:r w:rsidRPr="00886CA2">
        <w:rPr>
          <w:rFonts w:asciiTheme="minorHAnsi" w:eastAsiaTheme="minorEastAsia" w:hAnsiTheme="minorHAnsi" w:cstheme="minorBidi"/>
          <w:b w:val="0"/>
          <w:sz w:val="22"/>
          <w:lang w:val="en-GB" w:eastAsia="de-DE"/>
        </w:rPr>
        <w:tab/>
      </w:r>
      <w:r>
        <w:t xml:space="preserve">If the UE’s DL BWP does </w:t>
      </w:r>
      <w:r w:rsidRPr="00FC7975">
        <w:rPr>
          <w:u w:val="single"/>
        </w:rPr>
        <w:t>not</w:t>
      </w:r>
      <w:r>
        <w:t xml:space="preserve"> coincide with the SSB-frequency of the UE’s serving cell, the UE requires inter-frequency (intra-carrier) measurement gaps to (re-)acquire the SSB and to perform SS-based measurements.</w:t>
      </w:r>
    </w:p>
    <w:p w14:paraId="1628F5F8" w14:textId="77777777" w:rsidR="00886CA2" w:rsidRPr="00886CA2" w:rsidRDefault="00886CA2">
      <w:pPr>
        <w:pStyle w:val="TOC1"/>
        <w:rPr>
          <w:rFonts w:asciiTheme="minorHAnsi" w:eastAsiaTheme="minorEastAsia" w:hAnsiTheme="minorHAnsi" w:cstheme="minorBidi"/>
          <w:b w:val="0"/>
          <w:sz w:val="22"/>
          <w:lang w:val="en-GB" w:eastAsia="de-DE"/>
        </w:rPr>
      </w:pPr>
      <w:r>
        <w:t>Observation 4</w:t>
      </w:r>
      <w:r w:rsidRPr="00886CA2">
        <w:rPr>
          <w:rFonts w:asciiTheme="minorHAnsi" w:eastAsiaTheme="minorEastAsia" w:hAnsiTheme="minorHAnsi" w:cstheme="minorBidi"/>
          <w:b w:val="0"/>
          <w:sz w:val="22"/>
          <w:lang w:val="en-GB" w:eastAsia="de-DE"/>
        </w:rPr>
        <w:tab/>
      </w:r>
      <w:r>
        <w:t>Configuring a UE with a BWP and an SSB inside that BWP is equivalent to an inter-frequency HO if that SSB is associated with at least SIB1.</w:t>
      </w:r>
    </w:p>
    <w:p w14:paraId="3C70D9ED" w14:textId="77777777" w:rsidR="00886CA2" w:rsidRPr="00886CA2" w:rsidRDefault="00886CA2">
      <w:pPr>
        <w:pStyle w:val="TOC1"/>
        <w:rPr>
          <w:rFonts w:asciiTheme="minorHAnsi" w:eastAsiaTheme="minorEastAsia" w:hAnsiTheme="minorHAnsi" w:cstheme="minorBidi"/>
          <w:b w:val="0"/>
          <w:sz w:val="22"/>
          <w:lang w:val="en-GB" w:eastAsia="de-DE"/>
        </w:rPr>
      </w:pPr>
      <w:r>
        <w:t>Observation 5</w:t>
      </w:r>
      <w:r w:rsidRPr="00886CA2">
        <w:rPr>
          <w:rFonts w:asciiTheme="minorHAnsi" w:eastAsiaTheme="minorEastAsia" w:hAnsiTheme="minorHAnsi" w:cstheme="minorBidi"/>
          <w:b w:val="0"/>
          <w:sz w:val="22"/>
          <w:lang w:val="en-GB" w:eastAsia="de-DE"/>
        </w:rPr>
        <w:tab/>
      </w:r>
      <w:r>
        <w:t>If the BWP and its SSB are not associated with a SIB1, a UE cannot camp on that “cell” and it cannot use it as PCell.</w:t>
      </w:r>
    </w:p>
    <w:p w14:paraId="506520BA" w14:textId="77777777" w:rsidR="00886CA2" w:rsidRPr="00886CA2" w:rsidRDefault="00886CA2">
      <w:pPr>
        <w:pStyle w:val="TOC1"/>
        <w:rPr>
          <w:rFonts w:asciiTheme="minorHAnsi" w:eastAsiaTheme="minorEastAsia" w:hAnsiTheme="minorHAnsi" w:cstheme="minorBidi"/>
          <w:b w:val="0"/>
          <w:sz w:val="22"/>
          <w:lang w:val="en-GB" w:eastAsia="de-DE"/>
        </w:rPr>
      </w:pPr>
      <w:r>
        <w:t>Observation 6</w:t>
      </w:r>
      <w:r w:rsidRPr="00886CA2">
        <w:rPr>
          <w:rFonts w:asciiTheme="minorHAnsi" w:eastAsiaTheme="minorEastAsia" w:hAnsiTheme="minorHAnsi" w:cstheme="minorBidi"/>
          <w:b w:val="0"/>
          <w:sz w:val="22"/>
          <w:lang w:val="en-GB" w:eastAsia="de-DE"/>
        </w:rPr>
        <w:tab/>
      </w:r>
      <w:r>
        <w:t>Since a UE is required to measure on its PCell and to acquire SI there, it would need gaps even if it is configured with an additional SSB inside its BWP.</w:t>
      </w:r>
    </w:p>
    <w:p w14:paraId="52A57249" w14:textId="77777777" w:rsidR="00886CA2" w:rsidRPr="00886CA2" w:rsidRDefault="00886CA2">
      <w:pPr>
        <w:pStyle w:val="TOC1"/>
        <w:rPr>
          <w:rFonts w:asciiTheme="minorHAnsi" w:eastAsiaTheme="minorEastAsia" w:hAnsiTheme="minorHAnsi" w:cstheme="minorBidi"/>
          <w:b w:val="0"/>
          <w:sz w:val="22"/>
          <w:lang w:val="en-GB" w:eastAsia="de-DE"/>
        </w:rPr>
      </w:pPr>
      <w:r>
        <w:t>Observation 7</w:t>
      </w:r>
      <w:r w:rsidRPr="00886CA2">
        <w:rPr>
          <w:rFonts w:asciiTheme="minorHAnsi" w:eastAsiaTheme="minorEastAsia" w:hAnsiTheme="minorHAnsi" w:cstheme="minorBidi"/>
          <w:b w:val="0"/>
          <w:sz w:val="22"/>
          <w:lang w:val="en-GB" w:eastAsia="de-DE"/>
        </w:rPr>
        <w:tab/>
      </w:r>
      <w:r>
        <w:t>The possibility to configure “additional SSBs” for a UEs serving cell would have significant impact to the RRM framework, to the actual resource configuration signalling and to the UE capability signalling.</w:t>
      </w:r>
    </w:p>
    <w:p w14:paraId="301E37E2" w14:textId="77777777" w:rsidR="00886CA2" w:rsidRPr="00886CA2" w:rsidRDefault="00886CA2">
      <w:pPr>
        <w:pStyle w:val="TOC1"/>
        <w:rPr>
          <w:rFonts w:asciiTheme="minorHAnsi" w:eastAsiaTheme="minorEastAsia" w:hAnsiTheme="minorHAnsi" w:cstheme="minorBidi"/>
          <w:b w:val="0"/>
          <w:sz w:val="22"/>
          <w:lang w:val="en-GB" w:eastAsia="de-DE"/>
        </w:rPr>
      </w:pPr>
      <w:r>
        <w:t>Observation 8</w:t>
      </w:r>
      <w:r w:rsidRPr="00886CA2">
        <w:rPr>
          <w:rFonts w:asciiTheme="minorHAnsi" w:eastAsiaTheme="minorEastAsia" w:hAnsiTheme="minorHAnsi" w:cstheme="minorBidi"/>
          <w:b w:val="0"/>
          <w:sz w:val="22"/>
          <w:lang w:val="en-GB" w:eastAsia="de-DE"/>
        </w:rPr>
        <w:tab/>
      </w:r>
      <w:r>
        <w:t>Using SCells instead of “additional SSB” is already supported without further changes.</w:t>
      </w:r>
    </w:p>
    <w:p w14:paraId="12529905" w14:textId="77777777" w:rsidR="00886CA2" w:rsidRPr="00886CA2" w:rsidRDefault="00886CA2">
      <w:pPr>
        <w:pStyle w:val="TOC1"/>
        <w:rPr>
          <w:rFonts w:asciiTheme="minorHAnsi" w:eastAsiaTheme="minorEastAsia" w:hAnsiTheme="minorHAnsi" w:cstheme="minorBidi"/>
          <w:b w:val="0"/>
          <w:sz w:val="22"/>
          <w:lang w:val="en-GB" w:eastAsia="de-DE"/>
        </w:rPr>
      </w:pPr>
      <w:r>
        <w:t>Observation 9</w:t>
      </w:r>
      <w:r w:rsidRPr="00886CA2">
        <w:rPr>
          <w:rFonts w:asciiTheme="minorHAnsi" w:eastAsiaTheme="minorEastAsia" w:hAnsiTheme="minorHAnsi" w:cstheme="minorBidi"/>
          <w:b w:val="0"/>
          <w:sz w:val="22"/>
          <w:lang w:val="en-GB" w:eastAsia="de-DE"/>
        </w:rPr>
        <w:tab/>
      </w:r>
      <w:r>
        <w:t xml:space="preserve">The possibility to reduce or omit guard bands in between adjacent carriers renders “wide carriers with several SSBs” and “several narrower carriers” equivalent in </w:t>
      </w:r>
      <w:bookmarkStart w:id="65" w:name="_GoBack"/>
      <w:bookmarkEnd w:id="65"/>
      <w:r>
        <w:t>terms of resource efficiency.</w:t>
      </w:r>
    </w:p>
    <w:p w14:paraId="05C505F9" w14:textId="77777777" w:rsidR="00886CA2" w:rsidRDefault="00886CA2">
      <w:pPr>
        <w:pStyle w:val="TOC1"/>
        <w:rPr>
          <w:rFonts w:asciiTheme="minorHAnsi" w:eastAsiaTheme="minorEastAsia" w:hAnsiTheme="minorHAnsi" w:cstheme="minorBidi"/>
          <w:b w:val="0"/>
          <w:sz w:val="22"/>
          <w:lang w:val="de-DE" w:eastAsia="de-DE"/>
        </w:rPr>
      </w:pPr>
      <w:r>
        <w:t>Observation 10</w:t>
      </w:r>
      <w:r>
        <w:rPr>
          <w:rFonts w:asciiTheme="minorHAnsi" w:eastAsiaTheme="minorEastAsia" w:hAnsiTheme="minorHAnsi" w:cstheme="minorBidi"/>
          <w:b w:val="0"/>
          <w:sz w:val="22"/>
          <w:lang w:val="de-DE" w:eastAsia="de-DE"/>
        </w:rPr>
        <w:tab/>
      </w:r>
      <w:r>
        <w:t>Changing of or switching among BWPs implies RF re-tuning which will likely causes glitches and interruptions of control and data channels.</w:t>
      </w:r>
    </w:p>
    <w:p w14:paraId="3D10F94C" w14:textId="77777777" w:rsidR="008E065E" w:rsidRDefault="008E065E" w:rsidP="008E065E">
      <w:pPr>
        <w:pStyle w:val="BodyText"/>
        <w:rPr>
          <w:b/>
          <w:bCs/>
        </w:rPr>
      </w:pPr>
      <w:r>
        <w:rPr>
          <w:b/>
          <w:bCs/>
        </w:rPr>
        <w:fldChar w:fldCharType="end"/>
      </w:r>
    </w:p>
    <w:p w14:paraId="64A29DBD" w14:textId="77777777" w:rsidR="00886CA2" w:rsidRDefault="008E065E" w:rsidP="008E065E">
      <w:pPr>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86CA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D8A4BD4" w14:textId="77777777" w:rsidR="00886CA2" w:rsidRDefault="00886CA2">
      <w:pPr>
        <w:pStyle w:val="TOC1"/>
        <w:rPr>
          <w:rFonts w:asciiTheme="minorHAnsi" w:eastAsiaTheme="minorEastAsia" w:hAnsiTheme="minorHAnsi" w:cstheme="minorBidi"/>
          <w:b w:val="0"/>
          <w:sz w:val="22"/>
          <w:lang w:val="de-DE" w:eastAsia="de-DE"/>
        </w:rPr>
      </w:pPr>
      <w:r>
        <w:lastRenderedPageBreak/>
        <w:t>Proposal 1</w:t>
      </w:r>
      <w:r>
        <w:rPr>
          <w:rFonts w:asciiTheme="minorHAnsi" w:eastAsiaTheme="minorEastAsia" w:hAnsiTheme="minorHAnsi" w:cstheme="minorBidi"/>
          <w:b w:val="0"/>
          <w:sz w:val="22"/>
          <w:lang w:val="de-DE" w:eastAsia="de-DE"/>
        </w:rPr>
        <w:tab/>
      </w:r>
      <w:r>
        <w:t>In dedicated signalling, the NW configures the DL BWP and the UL BWP in accordance with the UE capabilities</w:t>
      </w:r>
    </w:p>
    <w:p w14:paraId="4D8BDAA2" w14:textId="77777777" w:rsidR="00886CA2" w:rsidRDefault="00886CA2">
      <w:pPr>
        <w:pStyle w:val="TOC1"/>
        <w:rPr>
          <w:rFonts w:asciiTheme="minorHAnsi" w:eastAsiaTheme="minorEastAsia" w:hAnsiTheme="minorHAnsi" w:cstheme="minorBidi"/>
          <w:b w:val="0"/>
          <w:sz w:val="22"/>
          <w:lang w:val="de-DE" w:eastAsia="de-DE"/>
        </w:rPr>
      </w:pPr>
      <w:r>
        <w:t>Proposal 2</w:t>
      </w:r>
      <w:r>
        <w:rPr>
          <w:rFonts w:asciiTheme="minorHAnsi" w:eastAsiaTheme="minorEastAsia" w:hAnsiTheme="minorHAnsi" w:cstheme="minorBidi"/>
          <w:b w:val="0"/>
          <w:sz w:val="22"/>
          <w:lang w:val="de-DE" w:eastAsia="de-DE"/>
        </w:rPr>
        <w:tab/>
      </w:r>
      <w:r>
        <w:t>The NW indicates the initialBWP in MIB. The UE acquires SIB1, other SI messages, Paging, Msg2 and Msg4 from the initialBWP.</w:t>
      </w:r>
    </w:p>
    <w:p w14:paraId="094F51CC" w14:textId="77777777" w:rsidR="00886CA2" w:rsidRDefault="00886CA2">
      <w:pPr>
        <w:pStyle w:val="TOC1"/>
        <w:rPr>
          <w:rFonts w:asciiTheme="minorHAnsi" w:eastAsiaTheme="minorEastAsia" w:hAnsiTheme="minorHAnsi" w:cstheme="minorBidi"/>
          <w:b w:val="0"/>
          <w:sz w:val="22"/>
          <w:lang w:val="de-DE" w:eastAsia="de-DE"/>
        </w:rPr>
      </w:pPr>
      <w:r>
        <w:t>Proposal 3</w:t>
      </w:r>
      <w:r>
        <w:rPr>
          <w:rFonts w:asciiTheme="minorHAnsi" w:eastAsiaTheme="minorEastAsia" w:hAnsiTheme="minorHAnsi" w:cstheme="minorBidi"/>
          <w:b w:val="0"/>
          <w:sz w:val="22"/>
          <w:lang w:val="de-DE" w:eastAsia="de-DE"/>
        </w:rPr>
        <w:tab/>
      </w:r>
      <w:r>
        <w:t>A UE that does not support the width of the initialBWP indicated in MIB considers the cell as barred.</w:t>
      </w:r>
    </w:p>
    <w:p w14:paraId="4301A386" w14:textId="77777777" w:rsidR="00886CA2" w:rsidRDefault="00886CA2">
      <w:pPr>
        <w:pStyle w:val="TOC1"/>
        <w:rPr>
          <w:rFonts w:asciiTheme="minorHAnsi" w:eastAsiaTheme="minorEastAsia" w:hAnsiTheme="minorHAnsi" w:cstheme="minorBidi"/>
          <w:b w:val="0"/>
          <w:sz w:val="22"/>
          <w:lang w:val="de-DE" w:eastAsia="de-DE"/>
        </w:rPr>
      </w:pPr>
      <w:r>
        <w:t>Proposal 4</w:t>
      </w:r>
      <w:r>
        <w:rPr>
          <w:rFonts w:asciiTheme="minorHAnsi" w:eastAsiaTheme="minorEastAsia" w:hAnsiTheme="minorHAnsi" w:cstheme="minorBidi"/>
          <w:b w:val="0"/>
          <w:sz w:val="22"/>
          <w:lang w:val="de-DE" w:eastAsia="de-DE"/>
        </w:rPr>
        <w:tab/>
      </w:r>
      <w:r>
        <w:t>The NW configures a downlink BWP for each of the UE’s serving cells (in ServingCellConfig</w:t>
      </w:r>
      <w:r w:rsidRPr="000004DA">
        <w:rPr>
          <w:u w:val="single"/>
        </w:rPr>
        <w:t>Dedicated</w:t>
      </w:r>
      <w:r>
        <w:t>).</w:t>
      </w:r>
    </w:p>
    <w:p w14:paraId="30EB3029" w14:textId="77777777" w:rsidR="00886CA2" w:rsidRDefault="00886CA2">
      <w:pPr>
        <w:pStyle w:val="TOC1"/>
        <w:rPr>
          <w:rFonts w:asciiTheme="minorHAnsi" w:eastAsiaTheme="minorEastAsia" w:hAnsiTheme="minorHAnsi" w:cstheme="minorBidi"/>
          <w:b w:val="0"/>
          <w:sz w:val="22"/>
          <w:lang w:val="de-DE" w:eastAsia="de-DE"/>
        </w:rPr>
      </w:pPr>
      <w:r>
        <w:t>Proposal 5</w:t>
      </w:r>
      <w:r>
        <w:rPr>
          <w:rFonts w:asciiTheme="minorHAnsi" w:eastAsiaTheme="minorEastAsia" w:hAnsiTheme="minorHAnsi" w:cstheme="minorBidi"/>
          <w:b w:val="0"/>
          <w:sz w:val="22"/>
          <w:lang w:val="de-DE" w:eastAsia="de-DE"/>
        </w:rPr>
        <w:tab/>
      </w:r>
      <w:r>
        <w:t>The NW configures a uplink BWP for each of the UE’s serving cells with configured UL (in ServingCellConfig</w:t>
      </w:r>
      <w:r w:rsidRPr="000004DA">
        <w:rPr>
          <w:u w:val="single"/>
        </w:rPr>
        <w:t>Dedicated</w:t>
      </w:r>
      <w:r>
        <w:t>).</w:t>
      </w:r>
    </w:p>
    <w:p w14:paraId="49A35EA0" w14:textId="77777777" w:rsidR="00886CA2" w:rsidRDefault="00886CA2">
      <w:pPr>
        <w:pStyle w:val="TOC1"/>
        <w:rPr>
          <w:rFonts w:asciiTheme="minorHAnsi" w:eastAsiaTheme="minorEastAsia" w:hAnsiTheme="minorHAnsi" w:cstheme="minorBidi"/>
          <w:b w:val="0"/>
          <w:sz w:val="22"/>
          <w:lang w:val="de-DE" w:eastAsia="de-DE"/>
        </w:rPr>
      </w:pPr>
      <w:r>
        <w:t>Proposal 6</w:t>
      </w:r>
      <w:r>
        <w:rPr>
          <w:rFonts w:asciiTheme="minorHAnsi" w:eastAsiaTheme="minorEastAsia" w:hAnsiTheme="minorHAnsi" w:cstheme="minorBidi"/>
          <w:b w:val="0"/>
          <w:sz w:val="22"/>
          <w:lang w:val="de-DE" w:eastAsia="de-DE"/>
        </w:rPr>
        <w:tab/>
      </w:r>
      <w:r>
        <w:t>If RAN4 decides that the NW advertises the carrier bandwidth (e.g. in MIB/SIB1), RAN2 may consider omitting the BWP configuration if the UE supports the full carrier bandwidth.</w:t>
      </w:r>
    </w:p>
    <w:p w14:paraId="1B71EFC7" w14:textId="77777777" w:rsidR="00886CA2" w:rsidRDefault="00886CA2">
      <w:pPr>
        <w:pStyle w:val="TOC1"/>
        <w:rPr>
          <w:rFonts w:asciiTheme="minorHAnsi" w:eastAsiaTheme="minorEastAsia" w:hAnsiTheme="minorHAnsi" w:cstheme="minorBidi"/>
          <w:b w:val="0"/>
          <w:sz w:val="22"/>
          <w:lang w:val="de-DE" w:eastAsia="de-DE"/>
        </w:rPr>
      </w:pPr>
      <w:r>
        <w:t>Proposal 7</w:t>
      </w:r>
      <w:r>
        <w:rPr>
          <w:rFonts w:asciiTheme="minorHAnsi" w:eastAsiaTheme="minorEastAsia" w:hAnsiTheme="minorHAnsi" w:cstheme="minorBidi"/>
          <w:b w:val="0"/>
          <w:sz w:val="22"/>
          <w:lang w:val="de-DE" w:eastAsia="de-DE"/>
        </w:rPr>
        <w:tab/>
      </w:r>
      <w:r>
        <w:t>RAN2 focuses on solutions that use BWP to serve UEs with an operating bandwidth smaller than the serving cell’s operating bandwidth (carrier frequency). Down-prioritize solutions where a UE is configured with “additional SSBs” and rely on CA instead, i.e., split a wide carrier into narrower carriers with their own serving cells and apply CA for UEs supporting it. Alternatively, deploy a wide carrier and configure measurement gaps for UEs using a narrow BWP not coinciding with the cell’s SSB frequency .</w:t>
      </w:r>
    </w:p>
    <w:p w14:paraId="7D085BFD" w14:textId="77777777" w:rsidR="00886CA2" w:rsidRDefault="00886CA2">
      <w:pPr>
        <w:pStyle w:val="TOC1"/>
        <w:rPr>
          <w:rFonts w:asciiTheme="minorHAnsi" w:eastAsiaTheme="minorEastAsia" w:hAnsiTheme="minorHAnsi" w:cstheme="minorBidi"/>
          <w:b w:val="0"/>
          <w:sz w:val="22"/>
          <w:lang w:val="de-DE" w:eastAsia="de-DE"/>
        </w:rPr>
      </w:pPr>
      <w:r>
        <w:t>Proposal 8</w:t>
      </w:r>
      <w:r>
        <w:rPr>
          <w:rFonts w:asciiTheme="minorHAnsi" w:eastAsiaTheme="minorEastAsia" w:hAnsiTheme="minorHAnsi" w:cstheme="minorBidi"/>
          <w:b w:val="0"/>
          <w:sz w:val="22"/>
          <w:lang w:val="de-DE" w:eastAsia="de-DE"/>
        </w:rPr>
        <w:tab/>
      </w:r>
      <w:r>
        <w:t>Advanced signalling schemes for switching the BWP configuration should not be discussed before RAN4 has analysed the expected glitches/interruptions and they should only be considered if they are proven to offer significant gains over RRC configuration and over CA configurations (offering MAC based activation/deactivation).</w:t>
      </w:r>
    </w:p>
    <w:p w14:paraId="7CF43CE0" w14:textId="6C1F27F5" w:rsidR="008E065E" w:rsidRPr="00CE0424" w:rsidRDefault="008E065E" w:rsidP="008E065E">
      <w:pPr>
        <w:rPr>
          <w:b/>
          <w:bCs/>
        </w:rPr>
      </w:pPr>
      <w:r>
        <w:rPr>
          <w:b/>
          <w:bCs/>
        </w:rPr>
        <w:fldChar w:fldCharType="end"/>
      </w:r>
    </w:p>
    <w:p w14:paraId="68312C02" w14:textId="77777777" w:rsidR="003A7EF3" w:rsidRPr="00CE0424" w:rsidRDefault="003A7EF3" w:rsidP="00CE0424">
      <w:pPr>
        <w:pStyle w:val="BodyText"/>
      </w:pPr>
      <w:bookmarkStart w:id="66" w:name="_In-sequence_SDU_delivery"/>
      <w:bookmarkEnd w:id="66"/>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647C4" w14:textId="77777777" w:rsidR="001402B6" w:rsidRDefault="001402B6">
      <w:r>
        <w:separator/>
      </w:r>
    </w:p>
  </w:endnote>
  <w:endnote w:type="continuationSeparator" w:id="0">
    <w:p w14:paraId="603D8E70" w14:textId="77777777" w:rsidR="001402B6" w:rsidRDefault="001402B6">
      <w:r>
        <w:continuationSeparator/>
      </w:r>
    </w:p>
  </w:endnote>
  <w:endnote w:type="continuationNotice" w:id="1">
    <w:p w14:paraId="5331B5A4" w14:textId="77777777" w:rsidR="001402B6" w:rsidRDefault="00140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F2C87" w14:textId="0D0A086B" w:rsidR="005B1E84" w:rsidRDefault="005B1E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6CA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6CA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FCD05" w14:textId="77777777" w:rsidR="001402B6" w:rsidRDefault="001402B6">
      <w:r>
        <w:separator/>
      </w:r>
    </w:p>
  </w:footnote>
  <w:footnote w:type="continuationSeparator" w:id="0">
    <w:p w14:paraId="3AE236EE" w14:textId="77777777" w:rsidR="001402B6" w:rsidRDefault="001402B6">
      <w:r>
        <w:continuationSeparator/>
      </w:r>
    </w:p>
  </w:footnote>
  <w:footnote w:type="continuationNotice" w:id="1">
    <w:p w14:paraId="349D0EBC" w14:textId="77777777" w:rsidR="001402B6" w:rsidRDefault="001402B6">
      <w:pPr>
        <w:spacing w:after="0"/>
      </w:pPr>
    </w:p>
  </w:footnote>
  <w:footnote w:id="2">
    <w:p w14:paraId="2EC9A5C2" w14:textId="79CBA077" w:rsidR="00DB3511" w:rsidRDefault="00DB3511">
      <w:pPr>
        <w:pStyle w:val="FootnoteText"/>
      </w:pPr>
      <w:r>
        <w:rPr>
          <w:rStyle w:val="FootnoteReference"/>
        </w:rPr>
        <w:footnoteRef/>
      </w:r>
      <w:r>
        <w:t xml:space="preserve"> The discussion is primarily about carriers spanning several 100 MHz and UEs supporting e.g. “only” carriers of 100 MHz. In other words, this concept addresses UEs supporting an operating bandwidth that is 100 times wider than for Cat-M1.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C5381" w14:textId="77777777" w:rsidR="005B1E84" w:rsidRDefault="005B1E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D77"/>
    <w:rsid w:val="000006E1"/>
    <w:rsid w:val="00002694"/>
    <w:rsid w:val="00002A37"/>
    <w:rsid w:val="000039F4"/>
    <w:rsid w:val="00006446"/>
    <w:rsid w:val="00006896"/>
    <w:rsid w:val="00007CDC"/>
    <w:rsid w:val="00011B28"/>
    <w:rsid w:val="00015D15"/>
    <w:rsid w:val="0002564D"/>
    <w:rsid w:val="00025ECA"/>
    <w:rsid w:val="000325B8"/>
    <w:rsid w:val="00034C15"/>
    <w:rsid w:val="00036BA1"/>
    <w:rsid w:val="00040B12"/>
    <w:rsid w:val="000422E2"/>
    <w:rsid w:val="00042F22"/>
    <w:rsid w:val="000444EF"/>
    <w:rsid w:val="0004691D"/>
    <w:rsid w:val="00052A07"/>
    <w:rsid w:val="000534E3"/>
    <w:rsid w:val="0005606A"/>
    <w:rsid w:val="00057117"/>
    <w:rsid w:val="000616E7"/>
    <w:rsid w:val="0006487E"/>
    <w:rsid w:val="00065E1A"/>
    <w:rsid w:val="000763A9"/>
    <w:rsid w:val="00077E5F"/>
    <w:rsid w:val="0008036A"/>
    <w:rsid w:val="00081AE6"/>
    <w:rsid w:val="000855EB"/>
    <w:rsid w:val="00085B52"/>
    <w:rsid w:val="000866F2"/>
    <w:rsid w:val="0009009F"/>
    <w:rsid w:val="00091557"/>
    <w:rsid w:val="000924C1"/>
    <w:rsid w:val="000924F0"/>
    <w:rsid w:val="00093474"/>
    <w:rsid w:val="0009510F"/>
    <w:rsid w:val="00097DA8"/>
    <w:rsid w:val="000A0F10"/>
    <w:rsid w:val="000A1B7B"/>
    <w:rsid w:val="000A56F2"/>
    <w:rsid w:val="000B2719"/>
    <w:rsid w:val="000B3A8F"/>
    <w:rsid w:val="000B4AB9"/>
    <w:rsid w:val="000B58C3"/>
    <w:rsid w:val="000B61E9"/>
    <w:rsid w:val="000C165A"/>
    <w:rsid w:val="000C2E19"/>
    <w:rsid w:val="000C4060"/>
    <w:rsid w:val="000C4658"/>
    <w:rsid w:val="000D0D07"/>
    <w:rsid w:val="000D4797"/>
    <w:rsid w:val="000E0527"/>
    <w:rsid w:val="000E1E92"/>
    <w:rsid w:val="000F06D6"/>
    <w:rsid w:val="000F0EB1"/>
    <w:rsid w:val="000F1106"/>
    <w:rsid w:val="000F3BE9"/>
    <w:rsid w:val="000F3F6C"/>
    <w:rsid w:val="000F5491"/>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2B6"/>
    <w:rsid w:val="00151E23"/>
    <w:rsid w:val="001526E0"/>
    <w:rsid w:val="001551B5"/>
    <w:rsid w:val="001659C1"/>
    <w:rsid w:val="00173A8E"/>
    <w:rsid w:val="00177795"/>
    <w:rsid w:val="0018143F"/>
    <w:rsid w:val="00190AC1"/>
    <w:rsid w:val="001929EB"/>
    <w:rsid w:val="0019341A"/>
    <w:rsid w:val="00197DF9"/>
    <w:rsid w:val="001A1987"/>
    <w:rsid w:val="001A1C3F"/>
    <w:rsid w:val="001A2564"/>
    <w:rsid w:val="001A6173"/>
    <w:rsid w:val="001A6CBA"/>
    <w:rsid w:val="001B0D97"/>
    <w:rsid w:val="001B5A5D"/>
    <w:rsid w:val="001C1CE5"/>
    <w:rsid w:val="001C3D2A"/>
    <w:rsid w:val="001C5DBF"/>
    <w:rsid w:val="001D51BA"/>
    <w:rsid w:val="001D6342"/>
    <w:rsid w:val="001D6D53"/>
    <w:rsid w:val="001D73A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DCD"/>
    <w:rsid w:val="002252C3"/>
    <w:rsid w:val="00225C54"/>
    <w:rsid w:val="00230765"/>
    <w:rsid w:val="00230A9B"/>
    <w:rsid w:val="002319E4"/>
    <w:rsid w:val="00235632"/>
    <w:rsid w:val="00235872"/>
    <w:rsid w:val="00241559"/>
    <w:rsid w:val="002435B3"/>
    <w:rsid w:val="002458EB"/>
    <w:rsid w:val="002500C8"/>
    <w:rsid w:val="00256492"/>
    <w:rsid w:val="00257543"/>
    <w:rsid w:val="002617E7"/>
    <w:rsid w:val="00263D11"/>
    <w:rsid w:val="00264228"/>
    <w:rsid w:val="00264334"/>
    <w:rsid w:val="0026473E"/>
    <w:rsid w:val="00266214"/>
    <w:rsid w:val="00267C83"/>
    <w:rsid w:val="0027144F"/>
    <w:rsid w:val="00271F3A"/>
    <w:rsid w:val="00272EBF"/>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D77"/>
    <w:rsid w:val="002C41E6"/>
    <w:rsid w:val="002D071A"/>
    <w:rsid w:val="002D34B2"/>
    <w:rsid w:val="002D7637"/>
    <w:rsid w:val="002E17F2"/>
    <w:rsid w:val="002E7CAE"/>
    <w:rsid w:val="002F2771"/>
    <w:rsid w:val="002F37A9"/>
    <w:rsid w:val="00301CE6"/>
    <w:rsid w:val="0030256B"/>
    <w:rsid w:val="0030501F"/>
    <w:rsid w:val="00307220"/>
    <w:rsid w:val="00307BA1"/>
    <w:rsid w:val="003103F3"/>
    <w:rsid w:val="00311702"/>
    <w:rsid w:val="00311E82"/>
    <w:rsid w:val="00313FD6"/>
    <w:rsid w:val="003143BD"/>
    <w:rsid w:val="00315676"/>
    <w:rsid w:val="003203ED"/>
    <w:rsid w:val="00322C9F"/>
    <w:rsid w:val="00324D23"/>
    <w:rsid w:val="00331751"/>
    <w:rsid w:val="00332F35"/>
    <w:rsid w:val="00334579"/>
    <w:rsid w:val="00335858"/>
    <w:rsid w:val="00336BDA"/>
    <w:rsid w:val="00342BD7"/>
    <w:rsid w:val="00343A07"/>
    <w:rsid w:val="00346DB5"/>
    <w:rsid w:val="003477B1"/>
    <w:rsid w:val="0035491B"/>
    <w:rsid w:val="00357380"/>
    <w:rsid w:val="003602D9"/>
    <w:rsid w:val="003604CE"/>
    <w:rsid w:val="00370E47"/>
    <w:rsid w:val="003742AC"/>
    <w:rsid w:val="00376B02"/>
    <w:rsid w:val="00377CE1"/>
    <w:rsid w:val="00385BF0"/>
    <w:rsid w:val="003931B4"/>
    <w:rsid w:val="003939FF"/>
    <w:rsid w:val="003A2223"/>
    <w:rsid w:val="003A2A0F"/>
    <w:rsid w:val="003A45A1"/>
    <w:rsid w:val="003A5B0A"/>
    <w:rsid w:val="003A6BAC"/>
    <w:rsid w:val="003A6C74"/>
    <w:rsid w:val="003A7E63"/>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109F"/>
    <w:rsid w:val="003F10BE"/>
    <w:rsid w:val="003F2CD4"/>
    <w:rsid w:val="003F3240"/>
    <w:rsid w:val="003F6BBE"/>
    <w:rsid w:val="004000E8"/>
    <w:rsid w:val="00402E2B"/>
    <w:rsid w:val="0040512B"/>
    <w:rsid w:val="00405CA5"/>
    <w:rsid w:val="00407CD3"/>
    <w:rsid w:val="00410134"/>
    <w:rsid w:val="00410B72"/>
    <w:rsid w:val="00410F18"/>
    <w:rsid w:val="0041263E"/>
    <w:rsid w:val="00412F4C"/>
    <w:rsid w:val="00413AAC"/>
    <w:rsid w:val="00416D5B"/>
    <w:rsid w:val="00421105"/>
    <w:rsid w:val="004242F4"/>
    <w:rsid w:val="00427248"/>
    <w:rsid w:val="0043097C"/>
    <w:rsid w:val="004369B9"/>
    <w:rsid w:val="00437447"/>
    <w:rsid w:val="00441A92"/>
    <w:rsid w:val="00441AE5"/>
    <w:rsid w:val="00443575"/>
    <w:rsid w:val="00444F56"/>
    <w:rsid w:val="00446488"/>
    <w:rsid w:val="004517AA"/>
    <w:rsid w:val="00452CAC"/>
    <w:rsid w:val="00456F6B"/>
    <w:rsid w:val="00457565"/>
    <w:rsid w:val="00457B71"/>
    <w:rsid w:val="00461367"/>
    <w:rsid w:val="004669E2"/>
    <w:rsid w:val="00470C31"/>
    <w:rsid w:val="004734D0"/>
    <w:rsid w:val="0047556B"/>
    <w:rsid w:val="00476E7C"/>
    <w:rsid w:val="00477768"/>
    <w:rsid w:val="00492BC5"/>
    <w:rsid w:val="004964F1"/>
    <w:rsid w:val="004A16BC"/>
    <w:rsid w:val="004A2B94"/>
    <w:rsid w:val="004B7166"/>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7C7"/>
    <w:rsid w:val="00534B59"/>
    <w:rsid w:val="00536759"/>
    <w:rsid w:val="00537C62"/>
    <w:rsid w:val="005404BB"/>
    <w:rsid w:val="00546970"/>
    <w:rsid w:val="00554E19"/>
    <w:rsid w:val="0056121F"/>
    <w:rsid w:val="00561990"/>
    <w:rsid w:val="00572505"/>
    <w:rsid w:val="00577619"/>
    <w:rsid w:val="00582809"/>
    <w:rsid w:val="0058798C"/>
    <w:rsid w:val="005900FA"/>
    <w:rsid w:val="005935A4"/>
    <w:rsid w:val="005948C2"/>
    <w:rsid w:val="00595DCA"/>
    <w:rsid w:val="0059779B"/>
    <w:rsid w:val="005A209A"/>
    <w:rsid w:val="005A662D"/>
    <w:rsid w:val="005B1E84"/>
    <w:rsid w:val="005B35D7"/>
    <w:rsid w:val="005B392A"/>
    <w:rsid w:val="005B3AA3"/>
    <w:rsid w:val="005B4028"/>
    <w:rsid w:val="005B591A"/>
    <w:rsid w:val="005B6F83"/>
    <w:rsid w:val="005C4894"/>
    <w:rsid w:val="005C48A2"/>
    <w:rsid w:val="005C74FB"/>
    <w:rsid w:val="005D1602"/>
    <w:rsid w:val="005E385F"/>
    <w:rsid w:val="005E43DA"/>
    <w:rsid w:val="005E5B81"/>
    <w:rsid w:val="005F2CB1"/>
    <w:rsid w:val="005F3025"/>
    <w:rsid w:val="005F5FDE"/>
    <w:rsid w:val="005F618C"/>
    <w:rsid w:val="005F70BD"/>
    <w:rsid w:val="0060283C"/>
    <w:rsid w:val="00604F14"/>
    <w:rsid w:val="00611B83"/>
    <w:rsid w:val="00613257"/>
    <w:rsid w:val="00620733"/>
    <w:rsid w:val="00620A71"/>
    <w:rsid w:val="00620D80"/>
    <w:rsid w:val="006234A6"/>
    <w:rsid w:val="006264A3"/>
    <w:rsid w:val="00630001"/>
    <w:rsid w:val="006311B3"/>
    <w:rsid w:val="00631CA0"/>
    <w:rsid w:val="0063284C"/>
    <w:rsid w:val="00636398"/>
    <w:rsid w:val="006368D3"/>
    <w:rsid w:val="00636CD3"/>
    <w:rsid w:val="006377EC"/>
    <w:rsid w:val="0064151F"/>
    <w:rsid w:val="00641533"/>
    <w:rsid w:val="0064208D"/>
    <w:rsid w:val="00643475"/>
    <w:rsid w:val="0064396A"/>
    <w:rsid w:val="0064624E"/>
    <w:rsid w:val="00650AB9"/>
    <w:rsid w:val="00655733"/>
    <w:rsid w:val="00655AB8"/>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256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3440"/>
    <w:rsid w:val="006E4E39"/>
    <w:rsid w:val="006E565E"/>
    <w:rsid w:val="006E5791"/>
    <w:rsid w:val="006E673D"/>
    <w:rsid w:val="006E6E39"/>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2F9E"/>
    <w:rsid w:val="00765281"/>
    <w:rsid w:val="00766BAD"/>
    <w:rsid w:val="007730BD"/>
    <w:rsid w:val="007755F2"/>
    <w:rsid w:val="00776971"/>
    <w:rsid w:val="0078177E"/>
    <w:rsid w:val="0078304C"/>
    <w:rsid w:val="00783673"/>
    <w:rsid w:val="00785490"/>
    <w:rsid w:val="007925EA"/>
    <w:rsid w:val="00793CD8"/>
    <w:rsid w:val="007959D9"/>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5913"/>
    <w:rsid w:val="007D7526"/>
    <w:rsid w:val="007E4610"/>
    <w:rsid w:val="007E4715"/>
    <w:rsid w:val="007E505B"/>
    <w:rsid w:val="007E7091"/>
    <w:rsid w:val="007F532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BBB"/>
    <w:rsid w:val="00854F97"/>
    <w:rsid w:val="00856911"/>
    <w:rsid w:val="00864623"/>
    <w:rsid w:val="008677FD"/>
    <w:rsid w:val="008706D4"/>
    <w:rsid w:val="00870F8A"/>
    <w:rsid w:val="008719A4"/>
    <w:rsid w:val="00871D23"/>
    <w:rsid w:val="00874312"/>
    <w:rsid w:val="0087437C"/>
    <w:rsid w:val="00875CD7"/>
    <w:rsid w:val="00876B4D"/>
    <w:rsid w:val="00877F18"/>
    <w:rsid w:val="0088194F"/>
    <w:rsid w:val="00886CA2"/>
    <w:rsid w:val="00894A88"/>
    <w:rsid w:val="00895386"/>
    <w:rsid w:val="0089748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C9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F62"/>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CE2"/>
    <w:rsid w:val="00971F08"/>
    <w:rsid w:val="0097603D"/>
    <w:rsid w:val="00976949"/>
    <w:rsid w:val="00980477"/>
    <w:rsid w:val="00985253"/>
    <w:rsid w:val="009853B3"/>
    <w:rsid w:val="00990630"/>
    <w:rsid w:val="00991761"/>
    <w:rsid w:val="00994CE6"/>
    <w:rsid w:val="00994DCA"/>
    <w:rsid w:val="009960EC"/>
    <w:rsid w:val="009970DD"/>
    <w:rsid w:val="009A0FBA"/>
    <w:rsid w:val="009A1601"/>
    <w:rsid w:val="009A462D"/>
    <w:rsid w:val="009A5CBA"/>
    <w:rsid w:val="009B1F30"/>
    <w:rsid w:val="009B3AC2"/>
    <w:rsid w:val="009B4DF4"/>
    <w:rsid w:val="009B564E"/>
    <w:rsid w:val="009B7E87"/>
    <w:rsid w:val="009C403E"/>
    <w:rsid w:val="009D0F3F"/>
    <w:rsid w:val="009D4FF0"/>
    <w:rsid w:val="009D703C"/>
    <w:rsid w:val="009D718F"/>
    <w:rsid w:val="009E068F"/>
    <w:rsid w:val="009E14E0"/>
    <w:rsid w:val="009E1DC0"/>
    <w:rsid w:val="009E35DB"/>
    <w:rsid w:val="009E47A3"/>
    <w:rsid w:val="009E6894"/>
    <w:rsid w:val="009E753C"/>
    <w:rsid w:val="009F08F3"/>
    <w:rsid w:val="009F344F"/>
    <w:rsid w:val="00A048A8"/>
    <w:rsid w:val="00A04F49"/>
    <w:rsid w:val="00A079FA"/>
    <w:rsid w:val="00A13E54"/>
    <w:rsid w:val="00A17F63"/>
    <w:rsid w:val="00A2052C"/>
    <w:rsid w:val="00A2193B"/>
    <w:rsid w:val="00A2351A"/>
    <w:rsid w:val="00A264A9"/>
    <w:rsid w:val="00A27785"/>
    <w:rsid w:val="00A30187"/>
    <w:rsid w:val="00A333CC"/>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90B"/>
    <w:rsid w:val="00AB0BC8"/>
    <w:rsid w:val="00AB11CA"/>
    <w:rsid w:val="00AB14D9"/>
    <w:rsid w:val="00AB4AB8"/>
    <w:rsid w:val="00AB55C0"/>
    <w:rsid w:val="00AB655E"/>
    <w:rsid w:val="00AC007F"/>
    <w:rsid w:val="00AC2ECD"/>
    <w:rsid w:val="00AC3119"/>
    <w:rsid w:val="00AC49FB"/>
    <w:rsid w:val="00AC5A10"/>
    <w:rsid w:val="00AD0AA3"/>
    <w:rsid w:val="00AD3F94"/>
    <w:rsid w:val="00AD4A5A"/>
    <w:rsid w:val="00AD6E3B"/>
    <w:rsid w:val="00AE27AC"/>
    <w:rsid w:val="00AE3743"/>
    <w:rsid w:val="00AE40E0"/>
    <w:rsid w:val="00AE4DBA"/>
    <w:rsid w:val="00AE4F07"/>
    <w:rsid w:val="00AF1916"/>
    <w:rsid w:val="00AF1C5D"/>
    <w:rsid w:val="00AF42D7"/>
    <w:rsid w:val="00B006FE"/>
    <w:rsid w:val="00B007CB"/>
    <w:rsid w:val="00B02AA9"/>
    <w:rsid w:val="00B02FA3"/>
    <w:rsid w:val="00B05084"/>
    <w:rsid w:val="00B10C12"/>
    <w:rsid w:val="00B124E5"/>
    <w:rsid w:val="00B157F9"/>
    <w:rsid w:val="00B20256"/>
    <w:rsid w:val="00B208AE"/>
    <w:rsid w:val="00B20D09"/>
    <w:rsid w:val="00B2763F"/>
    <w:rsid w:val="00B27AAC"/>
    <w:rsid w:val="00B30929"/>
    <w:rsid w:val="00B372AA"/>
    <w:rsid w:val="00B40445"/>
    <w:rsid w:val="00B41888"/>
    <w:rsid w:val="00B44F21"/>
    <w:rsid w:val="00B45A52"/>
    <w:rsid w:val="00B46175"/>
    <w:rsid w:val="00B47998"/>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238"/>
    <w:rsid w:val="00BC0FDC"/>
    <w:rsid w:val="00BC3053"/>
    <w:rsid w:val="00BC4D2E"/>
    <w:rsid w:val="00BC5A6F"/>
    <w:rsid w:val="00BD44BB"/>
    <w:rsid w:val="00BD48AC"/>
    <w:rsid w:val="00BD5F1A"/>
    <w:rsid w:val="00BE1234"/>
    <w:rsid w:val="00BE2FA6"/>
    <w:rsid w:val="00BE333F"/>
    <w:rsid w:val="00BE7406"/>
    <w:rsid w:val="00BE7603"/>
    <w:rsid w:val="00BF3279"/>
    <w:rsid w:val="00BF34FD"/>
    <w:rsid w:val="00BF74C7"/>
    <w:rsid w:val="00C015F1"/>
    <w:rsid w:val="00C01F33"/>
    <w:rsid w:val="00C02CC6"/>
    <w:rsid w:val="00C040F7"/>
    <w:rsid w:val="00C041B0"/>
    <w:rsid w:val="00C044AB"/>
    <w:rsid w:val="00C05706"/>
    <w:rsid w:val="00C07377"/>
    <w:rsid w:val="00C10478"/>
    <w:rsid w:val="00C11073"/>
    <w:rsid w:val="00C12107"/>
    <w:rsid w:val="00C14D4B"/>
    <w:rsid w:val="00C154BB"/>
    <w:rsid w:val="00C24345"/>
    <w:rsid w:val="00C278E7"/>
    <w:rsid w:val="00C279B5"/>
    <w:rsid w:val="00C27C45"/>
    <w:rsid w:val="00C3719D"/>
    <w:rsid w:val="00C37C47"/>
    <w:rsid w:val="00C46CFF"/>
    <w:rsid w:val="00C54995"/>
    <w:rsid w:val="00C54D41"/>
    <w:rsid w:val="00C60783"/>
    <w:rsid w:val="00C64672"/>
    <w:rsid w:val="00C70697"/>
    <w:rsid w:val="00C72EF4"/>
    <w:rsid w:val="00C74A12"/>
    <w:rsid w:val="00C75D2F"/>
    <w:rsid w:val="00C767BE"/>
    <w:rsid w:val="00C76E3C"/>
    <w:rsid w:val="00C81568"/>
    <w:rsid w:val="00C9027A"/>
    <w:rsid w:val="00C9068E"/>
    <w:rsid w:val="00C93C4B"/>
    <w:rsid w:val="00C944AB"/>
    <w:rsid w:val="00C95B40"/>
    <w:rsid w:val="00CA1ED8"/>
    <w:rsid w:val="00CA3EF7"/>
    <w:rsid w:val="00CB1F63"/>
    <w:rsid w:val="00CB7170"/>
    <w:rsid w:val="00CC040E"/>
    <w:rsid w:val="00CC111F"/>
    <w:rsid w:val="00CC2011"/>
    <w:rsid w:val="00CC3EA0"/>
    <w:rsid w:val="00CC7B45"/>
    <w:rsid w:val="00CD1188"/>
    <w:rsid w:val="00CD2ED1"/>
    <w:rsid w:val="00CD337B"/>
    <w:rsid w:val="00CD4B82"/>
    <w:rsid w:val="00CE0424"/>
    <w:rsid w:val="00CE202D"/>
    <w:rsid w:val="00CE65FA"/>
    <w:rsid w:val="00CE7561"/>
    <w:rsid w:val="00CF1354"/>
    <w:rsid w:val="00CF3B1F"/>
    <w:rsid w:val="00CF3BF6"/>
    <w:rsid w:val="00CF4EAB"/>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6775"/>
    <w:rsid w:val="00D576CA"/>
    <w:rsid w:val="00D61AF5"/>
    <w:rsid w:val="00D652B5"/>
    <w:rsid w:val="00D66155"/>
    <w:rsid w:val="00D708B0"/>
    <w:rsid w:val="00D77B1D"/>
    <w:rsid w:val="00D8021F"/>
    <w:rsid w:val="00D80383"/>
    <w:rsid w:val="00D814D1"/>
    <w:rsid w:val="00D81A69"/>
    <w:rsid w:val="00D823C6"/>
    <w:rsid w:val="00D86CA3"/>
    <w:rsid w:val="00D871CE"/>
    <w:rsid w:val="00D9196D"/>
    <w:rsid w:val="00D92982"/>
    <w:rsid w:val="00D95A0F"/>
    <w:rsid w:val="00DA305E"/>
    <w:rsid w:val="00DA5417"/>
    <w:rsid w:val="00DA56E8"/>
    <w:rsid w:val="00DB0A9F"/>
    <w:rsid w:val="00DB3511"/>
    <w:rsid w:val="00DB377D"/>
    <w:rsid w:val="00DB74A3"/>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E21"/>
    <w:rsid w:val="00E67C51"/>
    <w:rsid w:val="00E72EFC"/>
    <w:rsid w:val="00E758EC"/>
    <w:rsid w:val="00E8234C"/>
    <w:rsid w:val="00E83AA9"/>
    <w:rsid w:val="00E841BB"/>
    <w:rsid w:val="00E85928"/>
    <w:rsid w:val="00E861B6"/>
    <w:rsid w:val="00E87822"/>
    <w:rsid w:val="00E90395"/>
    <w:rsid w:val="00E90E49"/>
    <w:rsid w:val="00E917F9"/>
    <w:rsid w:val="00E9291C"/>
    <w:rsid w:val="00E93017"/>
    <w:rsid w:val="00E93FFE"/>
    <w:rsid w:val="00E94F8A"/>
    <w:rsid w:val="00EA7A41"/>
    <w:rsid w:val="00EB077B"/>
    <w:rsid w:val="00EB4EA2"/>
    <w:rsid w:val="00EC27C6"/>
    <w:rsid w:val="00EC4207"/>
    <w:rsid w:val="00EC5653"/>
    <w:rsid w:val="00EC71CE"/>
    <w:rsid w:val="00EC74C4"/>
    <w:rsid w:val="00ED1006"/>
    <w:rsid w:val="00EE2B7D"/>
    <w:rsid w:val="00EF18FE"/>
    <w:rsid w:val="00EF5787"/>
    <w:rsid w:val="00EF60D0"/>
    <w:rsid w:val="00F0528D"/>
    <w:rsid w:val="00F06775"/>
    <w:rsid w:val="00F06C67"/>
    <w:rsid w:val="00F06DFD"/>
    <w:rsid w:val="00F071D1"/>
    <w:rsid w:val="00F07533"/>
    <w:rsid w:val="00F10629"/>
    <w:rsid w:val="00F15FA5"/>
    <w:rsid w:val="00F17DA9"/>
    <w:rsid w:val="00F209B7"/>
    <w:rsid w:val="00F2376F"/>
    <w:rsid w:val="00F243D8"/>
    <w:rsid w:val="00F30828"/>
    <w:rsid w:val="00F313D6"/>
    <w:rsid w:val="00F335E2"/>
    <w:rsid w:val="00F40F0C"/>
    <w:rsid w:val="00F4766C"/>
    <w:rsid w:val="00F507D1"/>
    <w:rsid w:val="00F519CE"/>
    <w:rsid w:val="00F51ADA"/>
    <w:rsid w:val="00F607C5"/>
    <w:rsid w:val="00F60DEA"/>
    <w:rsid w:val="00F6302A"/>
    <w:rsid w:val="00F64C2B"/>
    <w:rsid w:val="00F64E8B"/>
    <w:rsid w:val="00F651BE"/>
    <w:rsid w:val="00F67F53"/>
    <w:rsid w:val="00F703BE"/>
    <w:rsid w:val="00F71F69"/>
    <w:rsid w:val="00F726E8"/>
    <w:rsid w:val="00F72B72"/>
    <w:rsid w:val="00F74BB9"/>
    <w:rsid w:val="00F75582"/>
    <w:rsid w:val="00F76EFA"/>
    <w:rsid w:val="00F804BE"/>
    <w:rsid w:val="00F817CE"/>
    <w:rsid w:val="00F8456C"/>
    <w:rsid w:val="00F859D8"/>
    <w:rsid w:val="00F85D7C"/>
    <w:rsid w:val="00F868F5"/>
    <w:rsid w:val="00F9056A"/>
    <w:rsid w:val="00F90F8D"/>
    <w:rsid w:val="00F92782"/>
    <w:rsid w:val="00F93AA9"/>
    <w:rsid w:val="00F96985"/>
    <w:rsid w:val="00F97838"/>
    <w:rsid w:val="00FA2BB3"/>
    <w:rsid w:val="00FB4C80"/>
    <w:rsid w:val="00FB6A6A"/>
    <w:rsid w:val="00FC3958"/>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EBE321"/>
  <w15:chartTrackingRefBased/>
  <w15:docId w15:val="{D9AE9985-AE45-4AB4-BCB8-94BBF1A8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6CA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86C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86CA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86CA2"/>
    <w:pPr>
      <w:numPr>
        <w:ilvl w:val="2"/>
      </w:numPr>
      <w:spacing w:before="120"/>
      <w:outlineLvl w:val="2"/>
    </w:pPr>
    <w:rPr>
      <w:sz w:val="28"/>
      <w:szCs w:val="28"/>
    </w:rPr>
  </w:style>
  <w:style w:type="paragraph" w:styleId="Heading4">
    <w:name w:val="heading 4"/>
    <w:basedOn w:val="Heading3"/>
    <w:next w:val="Normal"/>
    <w:qFormat/>
    <w:rsid w:val="00886CA2"/>
    <w:pPr>
      <w:numPr>
        <w:ilvl w:val="3"/>
      </w:numPr>
      <w:outlineLvl w:val="3"/>
    </w:pPr>
    <w:rPr>
      <w:sz w:val="24"/>
      <w:szCs w:val="24"/>
    </w:rPr>
  </w:style>
  <w:style w:type="paragraph" w:styleId="Heading5">
    <w:name w:val="heading 5"/>
    <w:basedOn w:val="Heading4"/>
    <w:next w:val="Normal"/>
    <w:qFormat/>
    <w:rsid w:val="00886CA2"/>
    <w:pPr>
      <w:numPr>
        <w:ilvl w:val="4"/>
      </w:numPr>
      <w:outlineLvl w:val="4"/>
    </w:pPr>
    <w:rPr>
      <w:sz w:val="22"/>
      <w:szCs w:val="22"/>
    </w:rPr>
  </w:style>
  <w:style w:type="paragraph" w:styleId="Heading6">
    <w:name w:val="heading 6"/>
    <w:basedOn w:val="Normal"/>
    <w:next w:val="Normal"/>
    <w:qFormat/>
    <w:rsid w:val="00886CA2"/>
    <w:pPr>
      <w:keepNext/>
      <w:keepLines/>
      <w:numPr>
        <w:ilvl w:val="5"/>
        <w:numId w:val="1"/>
      </w:numPr>
      <w:spacing w:before="120"/>
      <w:outlineLvl w:val="5"/>
    </w:pPr>
    <w:rPr>
      <w:rFonts w:cs="Arial"/>
    </w:rPr>
  </w:style>
  <w:style w:type="paragraph" w:styleId="Heading7">
    <w:name w:val="heading 7"/>
    <w:basedOn w:val="Normal"/>
    <w:next w:val="Normal"/>
    <w:qFormat/>
    <w:rsid w:val="00886CA2"/>
    <w:pPr>
      <w:keepNext/>
      <w:keepLines/>
      <w:numPr>
        <w:ilvl w:val="6"/>
        <w:numId w:val="1"/>
      </w:numPr>
      <w:spacing w:before="120"/>
      <w:outlineLvl w:val="6"/>
    </w:pPr>
    <w:rPr>
      <w:rFonts w:cs="Arial"/>
    </w:rPr>
  </w:style>
  <w:style w:type="paragraph" w:styleId="Heading8">
    <w:name w:val="heading 8"/>
    <w:basedOn w:val="Heading7"/>
    <w:next w:val="Normal"/>
    <w:qFormat/>
    <w:rsid w:val="00886CA2"/>
    <w:pPr>
      <w:numPr>
        <w:ilvl w:val="7"/>
      </w:numPr>
      <w:outlineLvl w:val="7"/>
    </w:pPr>
  </w:style>
  <w:style w:type="paragraph" w:styleId="Heading9">
    <w:name w:val="heading 9"/>
    <w:basedOn w:val="Heading8"/>
    <w:next w:val="Normal"/>
    <w:qFormat/>
    <w:rsid w:val="00886CA2"/>
    <w:pPr>
      <w:numPr>
        <w:ilvl w:val="8"/>
      </w:numPr>
      <w:outlineLvl w:val="8"/>
    </w:pPr>
  </w:style>
  <w:style w:type="character" w:default="1" w:styleId="DefaultParagraphFont">
    <w:name w:val="Default Paragraph Font"/>
    <w:uiPriority w:val="1"/>
    <w:semiHidden/>
    <w:unhideWhenUsed/>
    <w:rsid w:val="00886C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CA2"/>
  </w:style>
  <w:style w:type="paragraph" w:styleId="TOC8">
    <w:name w:val="toc 8"/>
    <w:basedOn w:val="TOC1"/>
    <w:semiHidden/>
    <w:rsid w:val="00886CA2"/>
    <w:pPr>
      <w:spacing w:before="180"/>
      <w:ind w:left="2693" w:hanging="2693"/>
    </w:pPr>
    <w:rPr>
      <w:b w:val="0"/>
      <w:bCs/>
    </w:rPr>
  </w:style>
  <w:style w:type="paragraph" w:styleId="TOC1">
    <w:name w:val="toc 1"/>
    <w:aliases w:val="Observation TOC2"/>
    <w:uiPriority w:val="39"/>
    <w:rsid w:val="00886CA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86CA2"/>
    <w:pPr>
      <w:keepNext/>
      <w:keepLines/>
      <w:spacing w:before="180"/>
      <w:jc w:val="center"/>
    </w:pPr>
  </w:style>
  <w:style w:type="paragraph" w:styleId="Caption">
    <w:name w:val="caption"/>
    <w:basedOn w:val="Normal"/>
    <w:next w:val="Normal"/>
    <w:qFormat/>
    <w:rsid w:val="00886CA2"/>
    <w:pPr>
      <w:spacing w:after="240"/>
      <w:jc w:val="center"/>
    </w:pPr>
    <w:rPr>
      <w:b/>
      <w:bCs/>
    </w:rPr>
  </w:style>
  <w:style w:type="paragraph" w:styleId="TOC5">
    <w:name w:val="toc 5"/>
    <w:aliases w:val="Observation TOC"/>
    <w:basedOn w:val="TOC4"/>
    <w:semiHidden/>
    <w:rsid w:val="00886CA2"/>
    <w:pPr>
      <w:tabs>
        <w:tab w:val="right" w:pos="1701"/>
      </w:tabs>
      <w:ind w:left="1701" w:hanging="1701"/>
    </w:pPr>
  </w:style>
  <w:style w:type="paragraph" w:styleId="TOC4">
    <w:name w:val="toc 4"/>
    <w:basedOn w:val="TOC3"/>
    <w:semiHidden/>
    <w:rsid w:val="00886CA2"/>
    <w:pPr>
      <w:ind w:left="1418" w:hanging="1418"/>
    </w:pPr>
  </w:style>
  <w:style w:type="paragraph" w:styleId="TOC3">
    <w:name w:val="toc 3"/>
    <w:basedOn w:val="TOC2"/>
    <w:semiHidden/>
    <w:rsid w:val="00886CA2"/>
    <w:pPr>
      <w:ind w:left="1134" w:hanging="1134"/>
    </w:pPr>
  </w:style>
  <w:style w:type="paragraph" w:styleId="TOC2">
    <w:name w:val="toc 2"/>
    <w:basedOn w:val="TOC1"/>
    <w:semiHidden/>
    <w:rsid w:val="00886CA2"/>
    <w:pPr>
      <w:keepNext w:val="0"/>
      <w:spacing w:before="0"/>
      <w:ind w:left="851" w:hanging="851"/>
    </w:pPr>
    <w:rPr>
      <w:szCs w:val="20"/>
    </w:rPr>
  </w:style>
  <w:style w:type="paragraph" w:styleId="Index2">
    <w:name w:val="index 2"/>
    <w:basedOn w:val="Index1"/>
    <w:semiHidden/>
    <w:rsid w:val="00886CA2"/>
    <w:pPr>
      <w:ind w:left="284"/>
    </w:pPr>
  </w:style>
  <w:style w:type="paragraph" w:styleId="Index1">
    <w:name w:val="index 1"/>
    <w:basedOn w:val="Normal"/>
    <w:semiHidden/>
    <w:rsid w:val="00886CA2"/>
    <w:pPr>
      <w:keepLines/>
      <w:spacing w:after="0"/>
    </w:pPr>
  </w:style>
  <w:style w:type="paragraph" w:styleId="DocumentMap">
    <w:name w:val="Document Map"/>
    <w:basedOn w:val="Normal"/>
    <w:semiHidden/>
    <w:rsid w:val="00886CA2"/>
    <w:pPr>
      <w:shd w:val="clear" w:color="auto" w:fill="000080"/>
    </w:pPr>
    <w:rPr>
      <w:rFonts w:ascii="Tahoma" w:hAnsi="Tahoma" w:cs="Tahoma"/>
    </w:rPr>
  </w:style>
  <w:style w:type="paragraph" w:styleId="ListNumber2">
    <w:name w:val="List Number 2"/>
    <w:basedOn w:val="ListNumber"/>
    <w:rsid w:val="00886CA2"/>
    <w:pPr>
      <w:ind w:left="851"/>
    </w:pPr>
  </w:style>
  <w:style w:type="paragraph" w:styleId="ListNumber">
    <w:name w:val="List Number"/>
    <w:basedOn w:val="List"/>
    <w:rsid w:val="00886CA2"/>
  </w:style>
  <w:style w:type="paragraph" w:styleId="List">
    <w:name w:val="List"/>
    <w:basedOn w:val="Normal"/>
    <w:rsid w:val="00886CA2"/>
    <w:pPr>
      <w:ind w:left="568" w:hanging="284"/>
    </w:pPr>
  </w:style>
  <w:style w:type="paragraph" w:styleId="Header">
    <w:name w:val="header"/>
    <w:rsid w:val="00886C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86CA2"/>
    <w:rPr>
      <w:b/>
      <w:bCs/>
      <w:position w:val="6"/>
      <w:sz w:val="16"/>
      <w:szCs w:val="16"/>
    </w:rPr>
  </w:style>
  <w:style w:type="paragraph" w:styleId="FootnoteText">
    <w:name w:val="footnote text"/>
    <w:basedOn w:val="Normal"/>
    <w:semiHidden/>
    <w:rsid w:val="00886CA2"/>
    <w:pPr>
      <w:keepLines/>
      <w:spacing w:after="0"/>
      <w:ind w:left="454" w:hanging="454"/>
    </w:pPr>
    <w:rPr>
      <w:sz w:val="16"/>
      <w:szCs w:val="16"/>
    </w:rPr>
  </w:style>
  <w:style w:type="paragraph" w:customStyle="1" w:styleId="3GPPHeader">
    <w:name w:val="3GPP_Header"/>
    <w:basedOn w:val="Normal"/>
    <w:rsid w:val="00886CA2"/>
    <w:pPr>
      <w:tabs>
        <w:tab w:val="left" w:pos="1701"/>
        <w:tab w:val="right" w:pos="9639"/>
      </w:tabs>
      <w:spacing w:after="240"/>
    </w:pPr>
    <w:rPr>
      <w:b/>
      <w:sz w:val="24"/>
    </w:rPr>
  </w:style>
  <w:style w:type="paragraph" w:styleId="TOC9">
    <w:name w:val="toc 9"/>
    <w:basedOn w:val="TOC8"/>
    <w:semiHidden/>
    <w:rsid w:val="00886CA2"/>
    <w:pPr>
      <w:ind w:left="1418" w:hanging="1418"/>
    </w:pPr>
  </w:style>
  <w:style w:type="paragraph" w:styleId="TOC6">
    <w:name w:val="toc 6"/>
    <w:basedOn w:val="TOC5"/>
    <w:next w:val="Normal"/>
    <w:semiHidden/>
    <w:rsid w:val="00886CA2"/>
    <w:pPr>
      <w:ind w:left="1985" w:hanging="1985"/>
    </w:pPr>
  </w:style>
  <w:style w:type="paragraph" w:styleId="TOC7">
    <w:name w:val="toc 7"/>
    <w:basedOn w:val="TOC6"/>
    <w:next w:val="Normal"/>
    <w:semiHidden/>
    <w:rsid w:val="00886CA2"/>
    <w:pPr>
      <w:ind w:left="2268" w:hanging="2268"/>
    </w:pPr>
  </w:style>
  <w:style w:type="paragraph" w:styleId="ListBullet2">
    <w:name w:val="List Bullet 2"/>
    <w:basedOn w:val="ListBullet"/>
    <w:rsid w:val="00886CA2"/>
    <w:pPr>
      <w:numPr>
        <w:numId w:val="6"/>
      </w:numPr>
    </w:pPr>
  </w:style>
  <w:style w:type="paragraph" w:styleId="ListBullet">
    <w:name w:val="List Bullet"/>
    <w:basedOn w:val="BodyText"/>
    <w:rsid w:val="00886CA2"/>
    <w:pPr>
      <w:numPr>
        <w:numId w:val="5"/>
      </w:numPr>
    </w:pPr>
  </w:style>
  <w:style w:type="paragraph" w:styleId="ListBullet3">
    <w:name w:val="List Bullet 3"/>
    <w:basedOn w:val="ListBullet2"/>
    <w:rsid w:val="00886CA2"/>
    <w:pPr>
      <w:numPr>
        <w:numId w:val="7"/>
      </w:numPr>
    </w:pPr>
  </w:style>
  <w:style w:type="paragraph" w:customStyle="1" w:styleId="EQ">
    <w:name w:val="EQ"/>
    <w:basedOn w:val="Normal"/>
    <w:next w:val="Normal"/>
    <w:rsid w:val="00886CA2"/>
    <w:pPr>
      <w:keepLines/>
      <w:tabs>
        <w:tab w:val="center" w:pos="4536"/>
        <w:tab w:val="right" w:pos="9072"/>
      </w:tabs>
      <w:spacing w:after="180"/>
      <w:jc w:val="left"/>
    </w:pPr>
    <w:rPr>
      <w:noProof/>
      <w:lang w:eastAsia="en-US"/>
    </w:rPr>
  </w:style>
  <w:style w:type="paragraph" w:styleId="List2">
    <w:name w:val="List 2"/>
    <w:basedOn w:val="List"/>
    <w:rsid w:val="00886CA2"/>
    <w:pPr>
      <w:ind w:left="851"/>
    </w:pPr>
  </w:style>
  <w:style w:type="paragraph" w:styleId="List3">
    <w:name w:val="List 3"/>
    <w:basedOn w:val="List2"/>
    <w:rsid w:val="00886CA2"/>
    <w:pPr>
      <w:ind w:left="1135"/>
    </w:pPr>
  </w:style>
  <w:style w:type="paragraph" w:styleId="List4">
    <w:name w:val="List 4"/>
    <w:basedOn w:val="List3"/>
    <w:rsid w:val="00886CA2"/>
    <w:pPr>
      <w:ind w:left="1418"/>
    </w:pPr>
  </w:style>
  <w:style w:type="paragraph" w:styleId="List5">
    <w:name w:val="List 5"/>
    <w:basedOn w:val="List4"/>
    <w:rsid w:val="00886CA2"/>
    <w:pPr>
      <w:ind w:left="1702"/>
    </w:pPr>
  </w:style>
  <w:style w:type="paragraph" w:customStyle="1" w:styleId="EditorsNote">
    <w:name w:val="Editor's Note"/>
    <w:basedOn w:val="Normal"/>
    <w:rsid w:val="00886CA2"/>
    <w:pPr>
      <w:keepLines/>
      <w:spacing w:after="180"/>
      <w:ind w:left="1135" w:hanging="851"/>
      <w:jc w:val="left"/>
    </w:pPr>
    <w:rPr>
      <w:color w:val="FF0000"/>
      <w:lang w:eastAsia="en-US"/>
    </w:rPr>
  </w:style>
  <w:style w:type="paragraph" w:styleId="ListBullet4">
    <w:name w:val="List Bullet 4"/>
    <w:basedOn w:val="ListBullet3"/>
    <w:rsid w:val="00886CA2"/>
    <w:pPr>
      <w:numPr>
        <w:numId w:val="8"/>
      </w:numPr>
    </w:pPr>
  </w:style>
  <w:style w:type="paragraph" w:styleId="ListBullet5">
    <w:name w:val="List Bullet 5"/>
    <w:basedOn w:val="ListBullet4"/>
    <w:rsid w:val="00886CA2"/>
    <w:pPr>
      <w:numPr>
        <w:numId w:val="4"/>
      </w:numPr>
    </w:pPr>
  </w:style>
  <w:style w:type="paragraph" w:styleId="Footer">
    <w:name w:val="footer"/>
    <w:basedOn w:val="Header"/>
    <w:semiHidden/>
    <w:rsid w:val="00886CA2"/>
    <w:pPr>
      <w:jc w:val="center"/>
    </w:pPr>
    <w:rPr>
      <w:i/>
      <w:iCs/>
    </w:rPr>
  </w:style>
  <w:style w:type="paragraph" w:customStyle="1" w:styleId="Reference">
    <w:name w:val="Reference"/>
    <w:basedOn w:val="Normal"/>
    <w:rsid w:val="00886CA2"/>
    <w:pPr>
      <w:numPr>
        <w:numId w:val="2"/>
      </w:numPr>
    </w:pPr>
  </w:style>
  <w:style w:type="paragraph" w:styleId="BalloonText">
    <w:name w:val="Balloon Text"/>
    <w:basedOn w:val="Normal"/>
    <w:semiHidden/>
    <w:rsid w:val="00886CA2"/>
    <w:rPr>
      <w:rFonts w:ascii="Tahoma" w:hAnsi="Tahoma" w:cs="Tahoma"/>
      <w:sz w:val="16"/>
      <w:szCs w:val="16"/>
    </w:rPr>
  </w:style>
  <w:style w:type="character" w:styleId="PageNumber">
    <w:name w:val="page number"/>
    <w:basedOn w:val="DefaultParagraphFont"/>
    <w:semiHidden/>
    <w:rsid w:val="00886CA2"/>
  </w:style>
  <w:style w:type="paragraph" w:styleId="BodyText">
    <w:name w:val="Body Text"/>
    <w:basedOn w:val="Normal"/>
    <w:link w:val="BodyTextChar"/>
    <w:rsid w:val="00886CA2"/>
  </w:style>
  <w:style w:type="character" w:styleId="Hyperlink">
    <w:name w:val="Hyperlink"/>
    <w:uiPriority w:val="99"/>
    <w:rsid w:val="00886CA2"/>
    <w:rPr>
      <w:color w:val="0000FF"/>
      <w:u w:val="single"/>
      <w:lang w:val="en-GB"/>
    </w:rPr>
  </w:style>
  <w:style w:type="character" w:styleId="FollowedHyperlink">
    <w:name w:val="FollowedHyperlink"/>
    <w:semiHidden/>
    <w:rsid w:val="00886CA2"/>
    <w:rPr>
      <w:color w:val="FF0000"/>
      <w:u w:val="single"/>
    </w:rPr>
  </w:style>
  <w:style w:type="character" w:styleId="CommentReference">
    <w:name w:val="annotation reference"/>
    <w:semiHidden/>
    <w:rsid w:val="00886CA2"/>
    <w:rPr>
      <w:sz w:val="16"/>
      <w:szCs w:val="16"/>
    </w:rPr>
  </w:style>
  <w:style w:type="paragraph" w:styleId="CommentText">
    <w:name w:val="annotation text"/>
    <w:basedOn w:val="Normal"/>
    <w:semiHidden/>
    <w:rsid w:val="00886CA2"/>
  </w:style>
  <w:style w:type="paragraph" w:styleId="CommentSubject">
    <w:name w:val="annotation subject"/>
    <w:basedOn w:val="CommentText"/>
    <w:next w:val="CommentText"/>
    <w:semiHidden/>
    <w:rsid w:val="00886CA2"/>
    <w:rPr>
      <w:b/>
      <w:bCs/>
    </w:rPr>
  </w:style>
  <w:style w:type="character" w:customStyle="1" w:styleId="Heading1Char">
    <w:name w:val="Heading 1 Char"/>
    <w:link w:val="Heading1"/>
    <w:rsid w:val="00886CA2"/>
    <w:rPr>
      <w:rFonts w:ascii="Arial" w:hAnsi="Arial" w:cs="Arial"/>
      <w:sz w:val="36"/>
      <w:szCs w:val="36"/>
      <w:lang w:val="en-GB" w:eastAsia="zh-CN"/>
    </w:rPr>
  </w:style>
  <w:style w:type="paragraph" w:customStyle="1" w:styleId="B1">
    <w:name w:val="B1"/>
    <w:basedOn w:val="List"/>
    <w:rsid w:val="00886CA2"/>
    <w:pPr>
      <w:spacing w:after="180"/>
      <w:jc w:val="left"/>
    </w:pPr>
    <w:rPr>
      <w:lang w:eastAsia="en-US"/>
    </w:rPr>
  </w:style>
  <w:style w:type="paragraph" w:customStyle="1" w:styleId="B2">
    <w:name w:val="B2"/>
    <w:basedOn w:val="List2"/>
    <w:rsid w:val="00886CA2"/>
    <w:pPr>
      <w:spacing w:after="180"/>
      <w:jc w:val="left"/>
    </w:pPr>
    <w:rPr>
      <w:lang w:eastAsia="en-US"/>
    </w:rPr>
  </w:style>
  <w:style w:type="paragraph" w:customStyle="1" w:styleId="B3">
    <w:name w:val="B3"/>
    <w:basedOn w:val="List3"/>
    <w:rsid w:val="00886CA2"/>
    <w:pPr>
      <w:spacing w:after="180"/>
      <w:jc w:val="left"/>
    </w:pPr>
    <w:rPr>
      <w:lang w:eastAsia="en-US"/>
    </w:rPr>
  </w:style>
  <w:style w:type="paragraph" w:customStyle="1" w:styleId="B4">
    <w:name w:val="B4"/>
    <w:basedOn w:val="List4"/>
    <w:rsid w:val="00886CA2"/>
    <w:pPr>
      <w:spacing w:after="180"/>
      <w:jc w:val="left"/>
    </w:pPr>
    <w:rPr>
      <w:lang w:eastAsia="en-US"/>
    </w:rPr>
  </w:style>
  <w:style w:type="paragraph" w:customStyle="1" w:styleId="Proposal">
    <w:name w:val="Proposal"/>
    <w:basedOn w:val="Normal"/>
    <w:rsid w:val="00886CA2"/>
    <w:pPr>
      <w:numPr>
        <w:numId w:val="3"/>
      </w:numPr>
      <w:tabs>
        <w:tab w:val="clear" w:pos="1304"/>
        <w:tab w:val="left" w:pos="1701"/>
      </w:tabs>
      <w:ind w:left="1701" w:hanging="1701"/>
    </w:pPr>
    <w:rPr>
      <w:b/>
      <w:bCs/>
    </w:rPr>
  </w:style>
  <w:style w:type="character" w:customStyle="1" w:styleId="BodyTextChar">
    <w:name w:val="Body Text Char"/>
    <w:link w:val="BodyText"/>
    <w:rsid w:val="00886CA2"/>
    <w:rPr>
      <w:rFonts w:ascii="Arial" w:hAnsi="Arial"/>
      <w:lang w:val="en-GB" w:eastAsia="zh-CN"/>
    </w:rPr>
  </w:style>
  <w:style w:type="paragraph" w:customStyle="1" w:styleId="B5">
    <w:name w:val="B5"/>
    <w:basedOn w:val="List5"/>
    <w:rsid w:val="00886CA2"/>
    <w:pPr>
      <w:spacing w:after="180"/>
      <w:jc w:val="left"/>
    </w:pPr>
    <w:rPr>
      <w:lang w:eastAsia="en-US"/>
    </w:rPr>
  </w:style>
  <w:style w:type="paragraph" w:customStyle="1" w:styleId="EX">
    <w:name w:val="EX"/>
    <w:basedOn w:val="Normal"/>
    <w:rsid w:val="00886CA2"/>
    <w:pPr>
      <w:keepLines/>
      <w:spacing w:after="180"/>
      <w:ind w:left="1702" w:hanging="1418"/>
      <w:jc w:val="left"/>
    </w:pPr>
    <w:rPr>
      <w:lang w:eastAsia="en-US"/>
    </w:rPr>
  </w:style>
  <w:style w:type="paragraph" w:customStyle="1" w:styleId="EW">
    <w:name w:val="EW"/>
    <w:basedOn w:val="EX"/>
    <w:rsid w:val="00886CA2"/>
    <w:pPr>
      <w:spacing w:after="0"/>
    </w:pPr>
  </w:style>
  <w:style w:type="paragraph" w:customStyle="1" w:styleId="TAL">
    <w:name w:val="TAL"/>
    <w:basedOn w:val="Normal"/>
    <w:rsid w:val="00886CA2"/>
    <w:pPr>
      <w:keepNext/>
      <w:keepLines/>
      <w:spacing w:after="0"/>
      <w:jc w:val="left"/>
    </w:pPr>
    <w:rPr>
      <w:sz w:val="18"/>
      <w:lang w:eastAsia="en-US"/>
    </w:rPr>
  </w:style>
  <w:style w:type="paragraph" w:customStyle="1" w:styleId="TAC">
    <w:name w:val="TAC"/>
    <w:basedOn w:val="TAL"/>
    <w:rsid w:val="00886CA2"/>
    <w:pPr>
      <w:jc w:val="center"/>
    </w:pPr>
  </w:style>
  <w:style w:type="paragraph" w:customStyle="1" w:styleId="TAH">
    <w:name w:val="TAH"/>
    <w:basedOn w:val="TAC"/>
    <w:rsid w:val="00886CA2"/>
    <w:rPr>
      <w:b/>
    </w:rPr>
  </w:style>
  <w:style w:type="paragraph" w:customStyle="1" w:styleId="TAN">
    <w:name w:val="TAN"/>
    <w:basedOn w:val="TAL"/>
    <w:rsid w:val="00886CA2"/>
    <w:pPr>
      <w:ind w:left="851" w:hanging="851"/>
    </w:pPr>
  </w:style>
  <w:style w:type="paragraph" w:customStyle="1" w:styleId="TAR">
    <w:name w:val="TAR"/>
    <w:basedOn w:val="TAL"/>
    <w:rsid w:val="00886CA2"/>
    <w:pPr>
      <w:jc w:val="right"/>
    </w:pPr>
  </w:style>
  <w:style w:type="paragraph" w:customStyle="1" w:styleId="TH">
    <w:name w:val="TH"/>
    <w:basedOn w:val="Normal"/>
    <w:rsid w:val="00886CA2"/>
    <w:pPr>
      <w:keepNext/>
      <w:keepLines/>
      <w:spacing w:before="60" w:after="180"/>
      <w:jc w:val="center"/>
    </w:pPr>
    <w:rPr>
      <w:b/>
      <w:lang w:eastAsia="en-US"/>
    </w:rPr>
  </w:style>
  <w:style w:type="paragraph" w:customStyle="1" w:styleId="TF">
    <w:name w:val="TF"/>
    <w:basedOn w:val="TH"/>
    <w:rsid w:val="00886CA2"/>
    <w:pPr>
      <w:keepNext w:val="0"/>
      <w:spacing w:before="0" w:after="240"/>
    </w:pPr>
  </w:style>
  <w:style w:type="paragraph" w:customStyle="1" w:styleId="TT">
    <w:name w:val="TT"/>
    <w:basedOn w:val="Heading1"/>
    <w:next w:val="Normal"/>
    <w:rsid w:val="00886CA2"/>
    <w:pPr>
      <w:numPr>
        <w:numId w:val="0"/>
      </w:numPr>
      <w:ind w:left="1134" w:hanging="1134"/>
      <w:outlineLvl w:val="9"/>
    </w:pPr>
    <w:rPr>
      <w:rFonts w:cs="Times New Roman"/>
      <w:szCs w:val="20"/>
      <w:lang w:eastAsia="en-US"/>
    </w:rPr>
  </w:style>
  <w:style w:type="paragraph" w:customStyle="1" w:styleId="ZA">
    <w:name w:val="ZA"/>
    <w:rsid w:val="00886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6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86C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86C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86CA2"/>
  </w:style>
  <w:style w:type="paragraph" w:customStyle="1" w:styleId="ZH">
    <w:name w:val="ZH"/>
    <w:rsid w:val="00886C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86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86CA2"/>
    <w:pPr>
      <w:framePr w:hRule="auto" w:wrap="notBeside" w:y="852"/>
    </w:pPr>
    <w:rPr>
      <w:i w:val="0"/>
      <w:sz w:val="40"/>
    </w:rPr>
  </w:style>
  <w:style w:type="paragraph" w:customStyle="1" w:styleId="ZU">
    <w:name w:val="ZU"/>
    <w:rsid w:val="00886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86CA2"/>
    <w:pPr>
      <w:framePr w:wrap="notBeside" w:y="16161"/>
    </w:pPr>
  </w:style>
  <w:style w:type="paragraph" w:customStyle="1" w:styleId="FP">
    <w:name w:val="FP"/>
    <w:basedOn w:val="Normal"/>
    <w:rsid w:val="00886CA2"/>
    <w:pPr>
      <w:spacing w:after="0"/>
      <w:jc w:val="left"/>
    </w:pPr>
    <w:rPr>
      <w:lang w:eastAsia="en-US"/>
    </w:rPr>
  </w:style>
  <w:style w:type="paragraph" w:customStyle="1" w:styleId="Observation">
    <w:name w:val="Observation"/>
    <w:basedOn w:val="Proposal"/>
    <w:qFormat/>
    <w:rsid w:val="00886CA2"/>
    <w:pPr>
      <w:numPr>
        <w:numId w:val="13"/>
      </w:numPr>
      <w:ind w:left="1701" w:hanging="1701"/>
    </w:pPr>
  </w:style>
  <w:style w:type="paragraph" w:styleId="TableofFigures">
    <w:name w:val="table of figures"/>
    <w:basedOn w:val="Normal"/>
    <w:next w:val="Normal"/>
    <w:uiPriority w:val="99"/>
    <w:rsid w:val="00886CA2"/>
    <w:pPr>
      <w:ind w:left="1418" w:hanging="1418"/>
      <w:jc w:val="left"/>
    </w:pPr>
    <w:rPr>
      <w:b/>
    </w:rPr>
  </w:style>
  <w:style w:type="paragraph" w:customStyle="1" w:styleId="Doc-text2">
    <w:name w:val="Doc-text2"/>
    <w:basedOn w:val="Normal"/>
    <w:link w:val="Doc-text2Char"/>
    <w:qFormat/>
    <w:rsid w:val="00886CA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86CA2"/>
    <w:rPr>
      <w:rFonts w:ascii="Arial" w:eastAsia="MS Mincho" w:hAnsi="Arial"/>
      <w:szCs w:val="24"/>
      <w:lang w:val="en-GB" w:eastAsia="en-GB"/>
    </w:rPr>
  </w:style>
  <w:style w:type="paragraph" w:styleId="Revision">
    <w:name w:val="Revision"/>
    <w:hidden/>
    <w:uiPriority w:val="99"/>
    <w:semiHidden/>
    <w:rsid w:val="007D5913"/>
    <w:rPr>
      <w:rFonts w:ascii="Arial" w:hAnsi="Arial"/>
      <w:lang w:val="en-GB" w:eastAsia="zh-CN"/>
    </w:rPr>
  </w:style>
  <w:style w:type="table" w:styleId="TableGrid">
    <w:name w:val="Table Grid"/>
    <w:basedOn w:val="TableNormal"/>
    <w:rsid w:val="00540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5NUHHDQN7SK2-1-182584</_dlc_DocId>
    <_dlc_DocIdUrl xmlns="08b2df90-05d3-4030-90d4-c9feeb4a1cd9">
      <Url>https://ericoll.internal.ericsson.com/sites/star/_layouts/DocIdRedir.aspx?ID=5NUHHDQN7SK2-1-182584</Url>
      <Description>5NUHHDQN7SK2-1-182584</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A9934BC-19A3-4F49-AF33-C9AFF0154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6</Pages>
  <Words>2268</Words>
  <Characters>14771</Characters>
  <Application>Microsoft Office Word</Application>
  <DocSecurity>0</DocSecurity>
  <Lines>434</Lines>
  <Paragraphs>378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91</cp:revision>
  <cp:lastPrinted>2008-01-31T16:09:00Z</cp:lastPrinted>
  <dcterms:created xsi:type="dcterms:W3CDTF">2017-09-26T09:27:00Z</dcterms:created>
  <dcterms:modified xsi:type="dcterms:W3CDTF">2017-09-29T07:07:00Z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5ead7631-9e11-4a80-9619-cc8a8e72059d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